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CFEE" w14:textId="77777777" w:rsidR="001D63AC" w:rsidRPr="00483791" w:rsidRDefault="001D63AC" w:rsidP="00803896"/>
    <w:tbl>
      <w:tblPr>
        <w:tblW w:w="0" w:type="auto"/>
        <w:tblInd w:w="20" w:type="dxa"/>
        <w:tblBorders>
          <w:top w:val="single" w:sz="8" w:space="0" w:color="000000"/>
        </w:tblBorders>
        <w:tblLayout w:type="fixed"/>
        <w:tblLook w:val="04A0" w:firstRow="1" w:lastRow="0" w:firstColumn="1" w:lastColumn="0" w:noHBand="0" w:noVBand="1"/>
      </w:tblPr>
      <w:tblGrid>
        <w:gridCol w:w="20"/>
      </w:tblGrid>
      <w:tr w:rsidR="001D63AC" w:rsidRPr="00483791" w14:paraId="2FBE5F54" w14:textId="77777777">
        <w:trPr>
          <w:trHeight w:hRule="exact" w:val="20"/>
        </w:trPr>
        <w:tc>
          <w:tcPr>
            <w:tcW w:w="20" w:type="dxa"/>
            <w:tcBorders>
              <w:top w:val="single" w:sz="8" w:space="0" w:color="000000"/>
            </w:tcBorders>
            <w:tcMar>
              <w:top w:w="0" w:type="dxa"/>
              <w:left w:w="0" w:type="dxa"/>
              <w:bottom w:w="0" w:type="dxa"/>
              <w:right w:w="0" w:type="dxa"/>
            </w:tcMar>
          </w:tcPr>
          <w:p w14:paraId="531D8D30" w14:textId="77777777" w:rsidR="001D63AC" w:rsidRPr="00483791" w:rsidRDefault="001D63AC" w:rsidP="00803896"/>
        </w:tc>
      </w:tr>
    </w:tbl>
    <w:p w14:paraId="355BDAC7" w14:textId="77777777" w:rsidR="001D63AC" w:rsidRPr="00483791" w:rsidRDefault="00620420" w:rsidP="00803896">
      <w:pPr>
        <w:rPr>
          <w:sz w:val="2"/>
        </w:rPr>
      </w:pPr>
      <w:r w:rsidRPr="00483791">
        <w:rPr>
          <w:noProof/>
        </w:rPr>
        <mc:AlternateContent>
          <mc:Choice Requires="wps">
            <w:drawing>
              <wp:inline distT="0" distB="0" distL="0" distR="0" wp14:anchorId="2076FE97" wp14:editId="10119B9C">
                <wp:extent cx="9525" cy="9525"/>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EC203C" id="AutoShape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p w14:paraId="1FE4E627" w14:textId="77777777" w:rsidR="001D63AC" w:rsidRPr="003C332B" w:rsidRDefault="008F3D8B" w:rsidP="00803896">
      <w:r w:rsidRPr="003C332B">
        <w:rPr>
          <w:noProof/>
        </w:rPr>
        <w:drawing>
          <wp:inline distT="0" distB="0" distL="0" distR="0" wp14:anchorId="0E8B5E5B" wp14:editId="13AF82C2">
            <wp:extent cx="1390376" cy="620385"/>
            <wp:effectExtent l="0" t="0" r="63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609" cy="628967"/>
                    </a:xfrm>
                    <a:prstGeom prst="rect">
                      <a:avLst/>
                    </a:prstGeom>
                    <a:noFill/>
                  </pic:spPr>
                </pic:pic>
              </a:graphicData>
            </a:graphic>
          </wp:inline>
        </w:drawing>
      </w:r>
    </w:p>
    <w:p w14:paraId="2B5E2230" w14:textId="77777777" w:rsidR="001D63AC" w:rsidRPr="003C332B" w:rsidRDefault="001D63AC" w:rsidP="00803896"/>
    <w:p w14:paraId="555251DE" w14:textId="39784F89" w:rsidR="001D63AC" w:rsidRPr="003C332B" w:rsidRDefault="001D63AC" w:rsidP="00803896"/>
    <w:p w14:paraId="521BA7F6" w14:textId="77777777" w:rsidR="008F3D8B" w:rsidRPr="003C332B" w:rsidRDefault="008F3D8B" w:rsidP="00803896"/>
    <w:p w14:paraId="0A075AF1" w14:textId="77777777" w:rsidR="008F3D8B" w:rsidRPr="003C332B" w:rsidRDefault="008F3D8B" w:rsidP="00803896"/>
    <w:p w14:paraId="57388978" w14:textId="77777777" w:rsidR="00114DA1" w:rsidRPr="003C332B" w:rsidRDefault="0073004C" w:rsidP="007657A8">
      <w:pPr>
        <w:pBdr>
          <w:top w:val="single" w:sz="4" w:space="1" w:color="auto"/>
          <w:left w:val="single" w:sz="4" w:space="4" w:color="auto"/>
          <w:bottom w:val="single" w:sz="4" w:space="1" w:color="auto"/>
          <w:right w:val="single" w:sz="4" w:space="4" w:color="auto"/>
        </w:pBdr>
        <w:jc w:val="center"/>
        <w:rPr>
          <w:rFonts w:eastAsia="Trebuchet MS"/>
          <w:sz w:val="28"/>
          <w:szCs w:val="28"/>
        </w:rPr>
      </w:pPr>
      <w:r w:rsidRPr="007657A8">
        <w:rPr>
          <w:rFonts w:eastAsia="Trebuchet MS" w:cs="Trebuchet MS"/>
          <w:b/>
          <w:color w:val="000000"/>
          <w:sz w:val="36"/>
        </w:rPr>
        <w:t>CAHIER DES CHARGES</w:t>
      </w:r>
      <w:r w:rsidR="002B7927" w:rsidRPr="007657A8">
        <w:rPr>
          <w:rFonts w:eastAsia="Trebuchet MS" w:cs="Trebuchet MS"/>
          <w:b/>
          <w:color w:val="000000"/>
          <w:sz w:val="36"/>
        </w:rPr>
        <w:t xml:space="preserve"> TECHNIQUE</w:t>
      </w:r>
      <w:r w:rsidR="00CB74AD" w:rsidRPr="007657A8">
        <w:rPr>
          <w:rFonts w:eastAsia="Trebuchet MS" w:cs="Trebuchet MS"/>
          <w:b/>
          <w:color w:val="000000"/>
          <w:sz w:val="36"/>
        </w:rPr>
        <w:t>S</w:t>
      </w:r>
      <w:r w:rsidRPr="007657A8">
        <w:rPr>
          <w:rFonts w:eastAsia="Trebuchet MS" w:cs="Trebuchet MS"/>
          <w:b/>
          <w:color w:val="000000"/>
          <w:sz w:val="36"/>
        </w:rPr>
        <w:t xml:space="preserve"> – TERMES DE REFERENCE</w:t>
      </w:r>
      <w:r w:rsidR="00A73EC1" w:rsidRPr="007657A8">
        <w:rPr>
          <w:rFonts w:eastAsia="Trebuchet MS" w:cs="Trebuchet MS"/>
          <w:b/>
          <w:color w:val="000000"/>
          <w:sz w:val="36"/>
        </w:rPr>
        <w:t xml:space="preserve"> PRESTATIONS </w:t>
      </w:r>
      <w:r w:rsidR="00635A52" w:rsidRPr="007657A8">
        <w:rPr>
          <w:rFonts w:eastAsia="Trebuchet MS" w:cs="Trebuchet MS"/>
          <w:b/>
          <w:color w:val="000000"/>
          <w:sz w:val="36"/>
        </w:rPr>
        <w:t>INTELLECTUELLES</w:t>
      </w:r>
    </w:p>
    <w:p w14:paraId="2EFEAA18" w14:textId="77777777" w:rsidR="001D63AC" w:rsidRPr="003C332B" w:rsidRDefault="001D63AC" w:rsidP="00803896"/>
    <w:p w14:paraId="7AD02AF7" w14:textId="77777777" w:rsidR="001D63AC" w:rsidRPr="003C332B" w:rsidRDefault="001D63AC" w:rsidP="00803896"/>
    <w:p w14:paraId="1F0D342D" w14:textId="77777777" w:rsidR="0073004C" w:rsidRPr="003C332B" w:rsidRDefault="0073004C" w:rsidP="00803896"/>
    <w:p w14:paraId="5897724C" w14:textId="77777777" w:rsidR="0073004C" w:rsidRPr="003C332B" w:rsidRDefault="0073004C" w:rsidP="00803896"/>
    <w:p w14:paraId="4508A02E" w14:textId="77777777" w:rsidR="0073004C" w:rsidRPr="003C332B" w:rsidRDefault="0073004C" w:rsidP="00803896"/>
    <w:p w14:paraId="76F5E4FE" w14:textId="77777777" w:rsidR="001D63AC" w:rsidRPr="003C332B" w:rsidRDefault="001D63AC" w:rsidP="00803896"/>
    <w:p w14:paraId="525ECDC6" w14:textId="77777777" w:rsidR="002B7927" w:rsidRPr="007657A8" w:rsidRDefault="002B7927" w:rsidP="007657A8">
      <w:pPr>
        <w:shd w:val="clear" w:color="auto" w:fill="95B3D7" w:themeFill="accent1" w:themeFillTint="99"/>
        <w:ind w:left="60"/>
        <w:jc w:val="center"/>
        <w:rPr>
          <w:rFonts w:cs="Arial"/>
          <w:b/>
          <w:bCs/>
          <w:szCs w:val="22"/>
        </w:rPr>
      </w:pPr>
      <w:r w:rsidRPr="007657A8">
        <w:rPr>
          <w:rFonts w:cs="Arial"/>
          <w:b/>
          <w:bCs/>
          <w:szCs w:val="22"/>
        </w:rPr>
        <w:t>Agence Française de Développement</w:t>
      </w:r>
    </w:p>
    <w:p w14:paraId="1A08F52E" w14:textId="77777777" w:rsidR="00730883" w:rsidRPr="007657A8" w:rsidRDefault="002B7927" w:rsidP="007657A8">
      <w:pPr>
        <w:shd w:val="clear" w:color="auto" w:fill="95B3D7" w:themeFill="accent1" w:themeFillTint="99"/>
        <w:ind w:left="60"/>
        <w:jc w:val="center"/>
        <w:rPr>
          <w:rFonts w:cs="Arial"/>
          <w:szCs w:val="22"/>
        </w:rPr>
      </w:pPr>
      <w:r w:rsidRPr="007657A8">
        <w:rPr>
          <w:rFonts w:cs="Arial"/>
          <w:szCs w:val="22"/>
        </w:rPr>
        <w:t>5, rue Roland Barthes</w:t>
      </w:r>
    </w:p>
    <w:p w14:paraId="64B2ADCA" w14:textId="77777777" w:rsidR="002B7927" w:rsidRPr="007657A8" w:rsidRDefault="002B7927" w:rsidP="007657A8">
      <w:pPr>
        <w:shd w:val="clear" w:color="auto" w:fill="95B3D7" w:themeFill="accent1" w:themeFillTint="99"/>
        <w:ind w:left="60"/>
        <w:jc w:val="center"/>
        <w:rPr>
          <w:rFonts w:cs="Arial"/>
          <w:szCs w:val="22"/>
        </w:rPr>
      </w:pPr>
      <w:r w:rsidRPr="007657A8">
        <w:rPr>
          <w:rFonts w:cs="Arial"/>
          <w:szCs w:val="22"/>
        </w:rPr>
        <w:t>75598 Paris Cedex 12</w:t>
      </w:r>
      <w:r w:rsidR="00970193" w:rsidRPr="007657A8">
        <w:rPr>
          <w:rFonts w:cs="Arial"/>
          <w:szCs w:val="22"/>
        </w:rPr>
        <w:t xml:space="preserve"> </w:t>
      </w:r>
      <w:r w:rsidRPr="007657A8">
        <w:rPr>
          <w:rFonts w:cs="Arial"/>
          <w:szCs w:val="22"/>
        </w:rPr>
        <w:t>- RCS PARIS B 775 665 599</w:t>
      </w:r>
    </w:p>
    <w:p w14:paraId="719B037E" w14:textId="4CA849F4" w:rsidR="001D63AC" w:rsidRPr="007657A8" w:rsidRDefault="008F3D8B" w:rsidP="007657A8">
      <w:pPr>
        <w:shd w:val="clear" w:color="auto" w:fill="95B3D7" w:themeFill="accent1" w:themeFillTint="99"/>
        <w:ind w:left="60"/>
        <w:jc w:val="center"/>
        <w:rPr>
          <w:rFonts w:cs="Arial"/>
          <w:szCs w:val="22"/>
        </w:rPr>
      </w:pPr>
      <w:r w:rsidRPr="007657A8">
        <w:rPr>
          <w:rFonts w:cs="Arial"/>
          <w:szCs w:val="22"/>
        </w:rPr>
        <w:t>T</w:t>
      </w:r>
      <w:r w:rsidR="002B7927" w:rsidRPr="007657A8">
        <w:rPr>
          <w:rFonts w:cs="Arial"/>
          <w:szCs w:val="22"/>
        </w:rPr>
        <w:t>éléphone</w:t>
      </w:r>
      <w:r w:rsidRPr="007657A8">
        <w:rPr>
          <w:rFonts w:cs="Arial"/>
          <w:szCs w:val="22"/>
        </w:rPr>
        <w:t xml:space="preserve"> </w:t>
      </w:r>
      <w:r w:rsidR="002B7927" w:rsidRPr="007657A8">
        <w:rPr>
          <w:rFonts w:cs="Arial"/>
          <w:szCs w:val="22"/>
        </w:rPr>
        <w:t xml:space="preserve">: </w:t>
      </w:r>
      <w:r w:rsidRPr="007657A8">
        <w:rPr>
          <w:rFonts w:cs="Arial"/>
          <w:szCs w:val="22"/>
        </w:rPr>
        <w:t xml:space="preserve">+ </w:t>
      </w:r>
      <w:r w:rsidR="002B7927" w:rsidRPr="007657A8">
        <w:rPr>
          <w:rFonts w:cs="Arial"/>
          <w:szCs w:val="22"/>
        </w:rPr>
        <w:t>33 (0)1 53 44 31 31</w:t>
      </w:r>
    </w:p>
    <w:p w14:paraId="62E1E14C" w14:textId="77777777" w:rsidR="0073004C" w:rsidRPr="003C332B" w:rsidRDefault="0073004C" w:rsidP="00803896">
      <w:pPr>
        <w:rPr>
          <w:rFonts w:eastAsia="Trebuchet MS"/>
        </w:rPr>
      </w:pPr>
    </w:p>
    <w:p w14:paraId="5ADA8AC2" w14:textId="77777777" w:rsidR="0073004C" w:rsidRPr="003C332B" w:rsidRDefault="0073004C" w:rsidP="00803896">
      <w:pPr>
        <w:rPr>
          <w:rFonts w:eastAsia="Trebuchet MS"/>
        </w:rPr>
      </w:pPr>
    </w:p>
    <w:p w14:paraId="0D0A0C5F" w14:textId="77777777" w:rsidR="0073004C" w:rsidRPr="003C332B" w:rsidRDefault="0073004C" w:rsidP="008F3D8B">
      <w:pPr>
        <w:pStyle w:val="Sansinterligne"/>
        <w:jc w:val="center"/>
        <w:rPr>
          <w:rFonts w:ascii="Tw Cen MT" w:hAnsi="Tw Cen MT" w:cstheme="minorHAnsi"/>
          <w:b/>
          <w:sz w:val="40"/>
          <w:szCs w:val="40"/>
        </w:rPr>
      </w:pPr>
      <w:r w:rsidRPr="003C332B">
        <w:rPr>
          <w:rFonts w:ascii="Tw Cen MT" w:hAnsi="Tw Cen MT" w:cstheme="minorHAnsi"/>
          <w:b/>
          <w:sz w:val="40"/>
          <w:szCs w:val="40"/>
        </w:rPr>
        <w:t>Concernant la prestation</w:t>
      </w:r>
    </w:p>
    <w:p w14:paraId="55894E76" w14:textId="77777777" w:rsidR="0073004C" w:rsidRPr="003C332B" w:rsidRDefault="0073004C" w:rsidP="00803896">
      <w:pPr>
        <w:rPr>
          <w:rFonts w:eastAsia="Trebuchet MS"/>
        </w:rPr>
      </w:pPr>
    </w:p>
    <w:p w14:paraId="0F93D651" w14:textId="77777777" w:rsidR="0073004C" w:rsidRPr="003C332B" w:rsidRDefault="0073004C" w:rsidP="00803896">
      <w:pPr>
        <w:rPr>
          <w:rFonts w:eastAsia="Trebuchet MS"/>
        </w:rPr>
      </w:pPr>
    </w:p>
    <w:p w14:paraId="3591A5E9" w14:textId="77777777" w:rsidR="0073004C" w:rsidRPr="003C332B" w:rsidRDefault="0073004C" w:rsidP="00803896">
      <w:pPr>
        <w:rPr>
          <w:rFonts w:eastAsia="Trebuchet MS"/>
        </w:rPr>
      </w:pPr>
    </w:p>
    <w:p w14:paraId="2C5584E4" w14:textId="2D4A319C" w:rsidR="0066636F" w:rsidRPr="007657A8" w:rsidRDefault="0066636F" w:rsidP="007657A8">
      <w:pPr>
        <w:jc w:val="center"/>
        <w:rPr>
          <w:sz w:val="40"/>
          <w:szCs w:val="40"/>
        </w:rPr>
      </w:pPr>
      <w:r w:rsidRPr="007657A8">
        <w:rPr>
          <w:sz w:val="40"/>
          <w:szCs w:val="40"/>
        </w:rPr>
        <w:t>Compensation des émissions carbone du groupe AFD pour l’année 2024</w:t>
      </w:r>
    </w:p>
    <w:p w14:paraId="43D9E66D" w14:textId="77777777" w:rsidR="004823A5" w:rsidRPr="003C332B" w:rsidRDefault="004823A5" w:rsidP="00803896">
      <w:pPr>
        <w:rPr>
          <w:rFonts w:eastAsia="Trebuchet MS"/>
        </w:rPr>
      </w:pPr>
    </w:p>
    <w:p w14:paraId="1969BA24" w14:textId="77777777" w:rsidR="0073004C" w:rsidRPr="003C332B" w:rsidRDefault="0073004C" w:rsidP="00803896">
      <w:pPr>
        <w:rPr>
          <w:snapToGrid w:val="0"/>
        </w:rPr>
      </w:pPr>
      <w:r w:rsidRPr="003C332B">
        <w:rPr>
          <w:snapToGrid w:val="0"/>
        </w:rPr>
        <w:br w:type="page"/>
      </w:r>
    </w:p>
    <w:sdt>
      <w:sdtPr>
        <w:rPr>
          <w:sz w:val="52"/>
        </w:rPr>
        <w:id w:val="-131254704"/>
        <w:docPartObj>
          <w:docPartGallery w:val="Table of Contents"/>
          <w:docPartUnique/>
        </w:docPartObj>
      </w:sdtPr>
      <w:sdtEndPr>
        <w:rPr>
          <w:sz w:val="22"/>
        </w:rPr>
      </w:sdtEndPr>
      <w:sdtContent>
        <w:p w14:paraId="0816C90E" w14:textId="77777777" w:rsidR="0073004C" w:rsidRPr="00673502" w:rsidRDefault="008B43B8" w:rsidP="00673502">
          <w:pPr>
            <w:jc w:val="center"/>
            <w:rPr>
              <w:sz w:val="24"/>
              <w:szCs w:val="28"/>
            </w:rPr>
          </w:pPr>
          <w:r w:rsidRPr="00673502">
            <w:rPr>
              <w:sz w:val="24"/>
              <w:szCs w:val="28"/>
            </w:rPr>
            <w:t>SOMMAIRE</w:t>
          </w:r>
        </w:p>
        <w:p w14:paraId="51CE6959" w14:textId="77777777" w:rsidR="00673502" w:rsidRPr="00673502" w:rsidRDefault="00673502" w:rsidP="00803896">
          <w:pPr>
            <w:rPr>
              <w:sz w:val="24"/>
              <w:szCs w:val="28"/>
            </w:rPr>
          </w:pPr>
        </w:p>
        <w:p w14:paraId="4FCD224E" w14:textId="77777777" w:rsidR="00673502" w:rsidRPr="00673502" w:rsidRDefault="00673502" w:rsidP="00803896">
          <w:pPr>
            <w:rPr>
              <w:sz w:val="24"/>
              <w:szCs w:val="28"/>
            </w:rPr>
          </w:pPr>
        </w:p>
        <w:p w14:paraId="1260C478" w14:textId="77777777" w:rsidR="00673502" w:rsidRPr="00673502" w:rsidRDefault="00673502" w:rsidP="00803896">
          <w:pPr>
            <w:rPr>
              <w:sz w:val="24"/>
              <w:szCs w:val="28"/>
            </w:rPr>
          </w:pPr>
        </w:p>
        <w:p w14:paraId="1C9549F5" w14:textId="77777777" w:rsidR="00673502" w:rsidRPr="00673502" w:rsidRDefault="00673502" w:rsidP="00803896">
          <w:pPr>
            <w:rPr>
              <w:sz w:val="24"/>
              <w:szCs w:val="28"/>
            </w:rPr>
          </w:pPr>
        </w:p>
        <w:p w14:paraId="724303D5" w14:textId="77777777" w:rsidR="00673502" w:rsidRPr="00673502" w:rsidRDefault="00673502" w:rsidP="00803896">
          <w:pPr>
            <w:rPr>
              <w:sz w:val="24"/>
              <w:szCs w:val="28"/>
            </w:rPr>
          </w:pPr>
        </w:p>
        <w:p w14:paraId="6D2BC69F" w14:textId="77777777" w:rsidR="00C02151" w:rsidRPr="00673502" w:rsidRDefault="00C02151" w:rsidP="00803896">
          <w:pPr>
            <w:rPr>
              <w:sz w:val="24"/>
              <w:szCs w:val="28"/>
            </w:rPr>
          </w:pPr>
        </w:p>
        <w:p w14:paraId="4ADE043B" w14:textId="33826403" w:rsidR="00B77FA2" w:rsidRPr="00673502" w:rsidRDefault="0073004C" w:rsidP="00673502">
          <w:pPr>
            <w:pStyle w:val="TM1"/>
            <w:spacing w:line="720" w:lineRule="auto"/>
            <w:rPr>
              <w:rFonts w:asciiTheme="minorHAnsi" w:eastAsiaTheme="minorEastAsia" w:hAnsiTheme="minorHAnsi" w:cstheme="minorBidi"/>
              <w:noProof/>
              <w:kern w:val="2"/>
              <w:sz w:val="28"/>
              <w:szCs w:val="28"/>
              <w14:ligatures w14:val="standardContextual"/>
            </w:rPr>
          </w:pPr>
          <w:r w:rsidRPr="00673502">
            <w:rPr>
              <w:rFonts w:cstheme="minorHAnsi"/>
              <w:sz w:val="20"/>
              <w:szCs w:val="28"/>
            </w:rPr>
            <w:fldChar w:fldCharType="begin"/>
          </w:r>
          <w:r w:rsidRPr="00673502">
            <w:rPr>
              <w:rFonts w:cstheme="minorHAnsi"/>
              <w:sz w:val="20"/>
              <w:szCs w:val="28"/>
            </w:rPr>
            <w:instrText xml:space="preserve"> TOC \o "1-3" \h \z \u </w:instrText>
          </w:r>
          <w:r w:rsidRPr="00673502">
            <w:rPr>
              <w:rFonts w:cstheme="minorHAnsi"/>
              <w:sz w:val="20"/>
              <w:szCs w:val="28"/>
            </w:rPr>
            <w:fldChar w:fldCharType="separate"/>
          </w:r>
          <w:hyperlink w:anchor="_Toc209430483" w:history="1">
            <w:r w:rsidR="00B77FA2" w:rsidRPr="00673502">
              <w:rPr>
                <w:rStyle w:val="Lienhypertexte"/>
                <w:noProof/>
                <w:sz w:val="24"/>
                <w:szCs w:val="28"/>
                <w14:scene3d>
                  <w14:camera w14:prst="orthographicFront"/>
                  <w14:lightRig w14:rig="threePt" w14:dir="t">
                    <w14:rot w14:lat="0" w14:lon="0" w14:rev="0"/>
                  </w14:lightRig>
                </w14:scene3d>
              </w:rPr>
              <w:t>ARTICLE 1.</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Présentation du Service Prescripteur</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_Toc209430483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3</w:t>
            </w:r>
            <w:r w:rsidR="00B77FA2" w:rsidRPr="00673502">
              <w:rPr>
                <w:noProof/>
                <w:webHidden/>
                <w:sz w:val="24"/>
                <w:szCs w:val="28"/>
              </w:rPr>
              <w:fldChar w:fldCharType="end"/>
            </w:r>
          </w:hyperlink>
        </w:p>
        <w:p w14:paraId="42551E9B" w14:textId="5A468198" w:rsidR="00B77FA2" w:rsidRPr="00673502" w:rsidRDefault="00D52BA2" w:rsidP="00673502">
          <w:pPr>
            <w:pStyle w:val="TM1"/>
            <w:spacing w:line="720" w:lineRule="auto"/>
            <w:rPr>
              <w:rFonts w:asciiTheme="minorHAnsi" w:eastAsiaTheme="minorEastAsia" w:hAnsiTheme="minorHAnsi" w:cstheme="minorBidi"/>
              <w:noProof/>
              <w:kern w:val="2"/>
              <w:sz w:val="28"/>
              <w:szCs w:val="28"/>
              <w14:ligatures w14:val="standardContextual"/>
            </w:rPr>
          </w:pPr>
          <w:hyperlink w:anchor="_Toc209430484" w:history="1">
            <w:r w:rsidR="00B77FA2" w:rsidRPr="00673502">
              <w:rPr>
                <w:rStyle w:val="Lienhypertexte"/>
                <w:noProof/>
                <w:sz w:val="24"/>
                <w:szCs w:val="28"/>
                <w14:scene3d>
                  <w14:camera w14:prst="orthographicFront"/>
                  <w14:lightRig w14:rig="threePt" w14:dir="t">
                    <w14:rot w14:lat="0" w14:lon="0" w14:rev="0"/>
                  </w14:lightRig>
                </w14:scene3d>
              </w:rPr>
              <w:t>ARTICLE 2.</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Objet du marché</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_Toc209430484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4</w:t>
            </w:r>
            <w:r w:rsidR="00B77FA2" w:rsidRPr="00673502">
              <w:rPr>
                <w:noProof/>
                <w:webHidden/>
                <w:sz w:val="24"/>
                <w:szCs w:val="28"/>
              </w:rPr>
              <w:fldChar w:fldCharType="end"/>
            </w:r>
          </w:hyperlink>
        </w:p>
        <w:p w14:paraId="5683EB9C" w14:textId="553A19B0" w:rsidR="00B77FA2" w:rsidRPr="00673502" w:rsidRDefault="00D52BA2" w:rsidP="00673502">
          <w:pPr>
            <w:pStyle w:val="TM1"/>
            <w:spacing w:line="720" w:lineRule="auto"/>
            <w:rPr>
              <w:rFonts w:asciiTheme="minorHAnsi" w:eastAsiaTheme="minorEastAsia" w:hAnsiTheme="minorHAnsi" w:cstheme="minorBidi"/>
              <w:noProof/>
              <w:kern w:val="2"/>
              <w:sz w:val="28"/>
              <w:szCs w:val="28"/>
              <w14:ligatures w14:val="standardContextual"/>
            </w:rPr>
          </w:pPr>
          <w:hyperlink w:anchor="_Toc209430485" w:history="1">
            <w:r w:rsidR="00B77FA2" w:rsidRPr="00673502">
              <w:rPr>
                <w:rStyle w:val="Lienhypertexte"/>
                <w:noProof/>
                <w:sz w:val="24"/>
                <w:szCs w:val="28"/>
                <w14:scene3d>
                  <w14:camera w14:prst="orthographicFront"/>
                  <w14:lightRig w14:rig="threePt" w14:dir="t">
                    <w14:rot w14:lat="0" w14:lon="0" w14:rev="0"/>
                  </w14:lightRig>
                </w14:scene3d>
              </w:rPr>
              <w:t>ARTICLE 3.</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Contexte et objectifs de la mission</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_Toc209430485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4</w:t>
            </w:r>
            <w:r w:rsidR="00B77FA2" w:rsidRPr="00673502">
              <w:rPr>
                <w:noProof/>
                <w:webHidden/>
                <w:sz w:val="24"/>
                <w:szCs w:val="28"/>
              </w:rPr>
              <w:fldChar w:fldCharType="end"/>
            </w:r>
          </w:hyperlink>
        </w:p>
        <w:p w14:paraId="1DF2AE91" w14:textId="522F78B6" w:rsidR="00B77FA2" w:rsidRPr="00673502" w:rsidRDefault="00D52BA2" w:rsidP="00673502">
          <w:pPr>
            <w:pStyle w:val="TM1"/>
            <w:spacing w:line="720" w:lineRule="auto"/>
            <w:rPr>
              <w:rFonts w:asciiTheme="minorHAnsi" w:eastAsiaTheme="minorEastAsia" w:hAnsiTheme="minorHAnsi" w:cstheme="minorBidi"/>
              <w:noProof/>
              <w:kern w:val="2"/>
              <w:sz w:val="28"/>
              <w:szCs w:val="28"/>
              <w14:ligatures w14:val="standardContextual"/>
            </w:rPr>
          </w:pPr>
          <w:hyperlink w:anchor="_Toc209430486" w:history="1">
            <w:r w:rsidR="00B77FA2" w:rsidRPr="00673502">
              <w:rPr>
                <w:rStyle w:val="Lienhypertexte"/>
                <w:noProof/>
                <w:sz w:val="24"/>
                <w:szCs w:val="28"/>
                <w14:scene3d>
                  <w14:camera w14:prst="orthographicFront"/>
                  <w14:lightRig w14:rig="threePt" w14:dir="t">
                    <w14:rot w14:lat="0" w14:lon="0" w14:rev="0"/>
                  </w14:lightRig>
                </w14:scene3d>
              </w:rPr>
              <w:t>ARTICLE 4.</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Prestation attendue</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_Toc209430486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4</w:t>
            </w:r>
            <w:r w:rsidR="00B77FA2" w:rsidRPr="00673502">
              <w:rPr>
                <w:noProof/>
                <w:webHidden/>
                <w:sz w:val="24"/>
                <w:szCs w:val="28"/>
              </w:rPr>
              <w:fldChar w:fldCharType="end"/>
            </w:r>
          </w:hyperlink>
        </w:p>
        <w:p w14:paraId="021FC3ED" w14:textId="08D5BE33" w:rsidR="00B77FA2" w:rsidRPr="00673502" w:rsidRDefault="00D52BA2" w:rsidP="00673502">
          <w:pPr>
            <w:pStyle w:val="TM1"/>
            <w:spacing w:line="720" w:lineRule="auto"/>
            <w:rPr>
              <w:rFonts w:asciiTheme="minorHAnsi" w:eastAsiaTheme="minorEastAsia" w:hAnsiTheme="minorHAnsi" w:cstheme="minorBidi"/>
              <w:noProof/>
              <w:kern w:val="2"/>
              <w:sz w:val="28"/>
              <w:szCs w:val="28"/>
              <w14:ligatures w14:val="standardContextual"/>
            </w:rPr>
          </w:pPr>
          <w:hyperlink w:anchor="_Toc209430487" w:history="1">
            <w:r w:rsidR="00B77FA2" w:rsidRPr="00673502">
              <w:rPr>
                <w:rStyle w:val="Lienhypertexte"/>
                <w:noProof/>
                <w:sz w:val="24"/>
                <w:szCs w:val="28"/>
                <w14:scene3d>
                  <w14:camera w14:prst="orthographicFront"/>
                  <w14:lightRig w14:rig="threePt" w14:dir="t">
                    <w14:rot w14:lat="0" w14:lon="0" w14:rev="0"/>
                  </w14:lightRig>
                </w14:scene3d>
              </w:rPr>
              <w:t>ARTICLE 5.</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Livrables attendus</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_Toc209430487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5</w:t>
            </w:r>
            <w:r w:rsidR="00B77FA2" w:rsidRPr="00673502">
              <w:rPr>
                <w:noProof/>
                <w:webHidden/>
                <w:sz w:val="24"/>
                <w:szCs w:val="28"/>
              </w:rPr>
              <w:fldChar w:fldCharType="end"/>
            </w:r>
          </w:hyperlink>
        </w:p>
        <w:p w14:paraId="17AC0702" w14:textId="0439D93F" w:rsidR="00B77FA2" w:rsidRPr="00673502" w:rsidRDefault="00D52BA2" w:rsidP="00673502">
          <w:pPr>
            <w:pStyle w:val="TM1"/>
            <w:spacing w:line="720" w:lineRule="auto"/>
            <w:rPr>
              <w:rFonts w:asciiTheme="minorHAnsi" w:eastAsiaTheme="minorEastAsia" w:hAnsiTheme="minorHAnsi" w:cstheme="minorBidi"/>
              <w:noProof/>
              <w:kern w:val="2"/>
              <w:sz w:val="28"/>
              <w:szCs w:val="28"/>
              <w14:ligatures w14:val="standardContextual"/>
            </w:rPr>
          </w:pPr>
          <w:hyperlink w:anchor="_Toc209430488" w:history="1">
            <w:r w:rsidR="00B77FA2" w:rsidRPr="00673502">
              <w:rPr>
                <w:rStyle w:val="Lienhypertexte"/>
                <w:noProof/>
                <w:sz w:val="24"/>
                <w:szCs w:val="28"/>
                <w14:scene3d>
                  <w14:camera w14:prst="orthographicFront"/>
                  <w14:lightRig w14:rig="threePt" w14:dir="t">
                    <w14:rot w14:lat="0" w14:lon="0" w14:rev="0"/>
                  </w14:lightRig>
                </w14:scene3d>
              </w:rPr>
              <w:t>ARTICLE 6.</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Modalité d’exécution</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_Toc209430488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5</w:t>
            </w:r>
            <w:r w:rsidR="00B77FA2" w:rsidRPr="00673502">
              <w:rPr>
                <w:noProof/>
                <w:webHidden/>
                <w:sz w:val="24"/>
                <w:szCs w:val="28"/>
              </w:rPr>
              <w:fldChar w:fldCharType="end"/>
            </w:r>
          </w:hyperlink>
        </w:p>
        <w:p w14:paraId="3D959C24" w14:textId="104615DE" w:rsidR="00B77FA2" w:rsidRPr="00673502" w:rsidRDefault="00D52BA2" w:rsidP="00673502">
          <w:pPr>
            <w:pStyle w:val="TM2"/>
            <w:tabs>
              <w:tab w:val="left" w:pos="960"/>
              <w:tab w:val="right" w:leader="dot" w:pos="9636"/>
            </w:tabs>
            <w:spacing w:line="720" w:lineRule="auto"/>
            <w:rPr>
              <w:rFonts w:asciiTheme="minorHAnsi" w:eastAsiaTheme="minorEastAsia" w:hAnsiTheme="minorHAnsi" w:cstheme="minorBidi"/>
              <w:noProof/>
              <w:kern w:val="2"/>
              <w:sz w:val="28"/>
              <w:szCs w:val="28"/>
              <w14:ligatures w14:val="standardContextual"/>
            </w:rPr>
          </w:pPr>
          <w:hyperlink w:anchor="_Toc209430489" w:history="1">
            <w:r w:rsidR="00B77FA2" w:rsidRPr="00673502">
              <w:rPr>
                <w:rStyle w:val="Lienhypertexte"/>
                <w:noProof/>
                <w:sz w:val="24"/>
                <w:szCs w:val="28"/>
              </w:rPr>
              <w:t>6.1</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Méthodologie attendue</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_Toc209430489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5</w:t>
            </w:r>
            <w:r w:rsidR="00B77FA2" w:rsidRPr="00673502">
              <w:rPr>
                <w:noProof/>
                <w:webHidden/>
                <w:sz w:val="24"/>
                <w:szCs w:val="28"/>
              </w:rPr>
              <w:fldChar w:fldCharType="end"/>
            </w:r>
          </w:hyperlink>
        </w:p>
        <w:p w14:paraId="2F93D557" w14:textId="6000B0AC" w:rsidR="00B77FA2" w:rsidRPr="00673502" w:rsidRDefault="00D52BA2" w:rsidP="00673502">
          <w:pPr>
            <w:pStyle w:val="TM2"/>
            <w:tabs>
              <w:tab w:val="left" w:pos="960"/>
              <w:tab w:val="right" w:leader="dot" w:pos="9636"/>
            </w:tabs>
            <w:spacing w:line="720" w:lineRule="auto"/>
            <w:rPr>
              <w:rFonts w:asciiTheme="minorHAnsi" w:eastAsiaTheme="minorEastAsia" w:hAnsiTheme="minorHAnsi" w:cstheme="minorBidi"/>
              <w:noProof/>
              <w:kern w:val="2"/>
              <w:sz w:val="28"/>
              <w:szCs w:val="28"/>
              <w14:ligatures w14:val="standardContextual"/>
            </w:rPr>
          </w:pPr>
          <w:hyperlink w:anchor="_Toc209430490" w:history="1">
            <w:r w:rsidR="00B77FA2" w:rsidRPr="00673502">
              <w:rPr>
                <w:rStyle w:val="Lienhypertexte"/>
                <w:noProof/>
                <w:sz w:val="24"/>
                <w:szCs w:val="28"/>
              </w:rPr>
              <w:t>6.2</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Exigence particulière de réalisation / Conditions d’exécution</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_Toc209430490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6</w:t>
            </w:r>
            <w:r w:rsidR="00B77FA2" w:rsidRPr="00673502">
              <w:rPr>
                <w:noProof/>
                <w:webHidden/>
                <w:sz w:val="24"/>
                <w:szCs w:val="28"/>
              </w:rPr>
              <w:fldChar w:fldCharType="end"/>
            </w:r>
          </w:hyperlink>
        </w:p>
        <w:p w14:paraId="556C304A" w14:textId="475DB576" w:rsidR="00B77FA2" w:rsidRPr="00673502" w:rsidRDefault="00D52BA2" w:rsidP="00673502">
          <w:pPr>
            <w:pStyle w:val="TM2"/>
            <w:tabs>
              <w:tab w:val="left" w:pos="960"/>
              <w:tab w:val="right" w:leader="dot" w:pos="9636"/>
            </w:tabs>
            <w:spacing w:line="720" w:lineRule="auto"/>
            <w:rPr>
              <w:rFonts w:asciiTheme="minorHAnsi" w:eastAsiaTheme="minorEastAsia" w:hAnsiTheme="minorHAnsi" w:cstheme="minorBidi"/>
              <w:noProof/>
              <w:kern w:val="2"/>
              <w:sz w:val="28"/>
              <w:szCs w:val="28"/>
              <w14:ligatures w14:val="standardContextual"/>
            </w:rPr>
          </w:pPr>
          <w:hyperlink w:anchor="_Toc209430491" w:history="1">
            <w:r w:rsidR="00B77FA2" w:rsidRPr="00673502">
              <w:rPr>
                <w:rStyle w:val="Lienhypertexte"/>
                <w:noProof/>
                <w:sz w:val="24"/>
                <w:szCs w:val="28"/>
              </w:rPr>
              <w:t>6.3</w:t>
            </w:r>
            <w:r w:rsidR="00B77FA2" w:rsidRPr="00673502">
              <w:rPr>
                <w:rFonts w:asciiTheme="minorHAnsi" w:eastAsiaTheme="minorEastAsia" w:hAnsiTheme="minorHAnsi" w:cstheme="minorBidi"/>
                <w:noProof/>
                <w:kern w:val="2"/>
                <w:sz w:val="28"/>
                <w:szCs w:val="28"/>
                <w14:ligatures w14:val="standardContextual"/>
              </w:rPr>
              <w:tab/>
            </w:r>
            <w:r w:rsidR="00B77FA2" w:rsidRPr="00673502">
              <w:rPr>
                <w:rStyle w:val="Lienhypertexte"/>
                <w:noProof/>
                <w:sz w:val="24"/>
                <w:szCs w:val="28"/>
              </w:rPr>
              <w:t>Planning d’exécution</w:t>
            </w:r>
            <w:r w:rsidR="00B77FA2" w:rsidRPr="00673502">
              <w:rPr>
                <w:noProof/>
                <w:webHidden/>
                <w:sz w:val="24"/>
                <w:szCs w:val="28"/>
              </w:rPr>
              <w:tab/>
            </w:r>
            <w:r w:rsidR="00B77FA2" w:rsidRPr="00673502">
              <w:rPr>
                <w:noProof/>
                <w:webHidden/>
                <w:sz w:val="24"/>
                <w:szCs w:val="28"/>
              </w:rPr>
              <w:fldChar w:fldCharType="begin"/>
            </w:r>
            <w:r w:rsidR="00B77FA2" w:rsidRPr="00673502">
              <w:rPr>
                <w:noProof/>
                <w:webHidden/>
                <w:sz w:val="24"/>
                <w:szCs w:val="28"/>
              </w:rPr>
              <w:instrText xml:space="preserve"> PAGEREF _Toc209430491 \h </w:instrText>
            </w:r>
            <w:r w:rsidR="00B77FA2" w:rsidRPr="00673502">
              <w:rPr>
                <w:noProof/>
                <w:webHidden/>
                <w:sz w:val="24"/>
                <w:szCs w:val="28"/>
              </w:rPr>
            </w:r>
            <w:r w:rsidR="00B77FA2" w:rsidRPr="00673502">
              <w:rPr>
                <w:noProof/>
                <w:webHidden/>
                <w:sz w:val="24"/>
                <w:szCs w:val="28"/>
              </w:rPr>
              <w:fldChar w:fldCharType="separate"/>
            </w:r>
            <w:r w:rsidR="00673502" w:rsidRPr="00673502">
              <w:rPr>
                <w:noProof/>
                <w:webHidden/>
                <w:sz w:val="24"/>
                <w:szCs w:val="28"/>
              </w:rPr>
              <w:t>6</w:t>
            </w:r>
            <w:r w:rsidR="00B77FA2" w:rsidRPr="00673502">
              <w:rPr>
                <w:noProof/>
                <w:webHidden/>
                <w:sz w:val="24"/>
                <w:szCs w:val="28"/>
              </w:rPr>
              <w:fldChar w:fldCharType="end"/>
            </w:r>
          </w:hyperlink>
        </w:p>
        <w:p w14:paraId="439F26BE" w14:textId="32855DE0" w:rsidR="0073004C" w:rsidRPr="003C332B" w:rsidRDefault="0073004C" w:rsidP="00803896">
          <w:r w:rsidRPr="00673502">
            <w:rPr>
              <w:sz w:val="20"/>
              <w:szCs w:val="28"/>
            </w:rPr>
            <w:fldChar w:fldCharType="end"/>
          </w:r>
        </w:p>
      </w:sdtContent>
    </w:sdt>
    <w:p w14:paraId="4B9E1865" w14:textId="77777777" w:rsidR="0073004C" w:rsidRPr="003C332B" w:rsidRDefault="0073004C" w:rsidP="00803896">
      <w:pPr>
        <w:rPr>
          <w:snapToGrid w:val="0"/>
        </w:rPr>
      </w:pPr>
      <w:r w:rsidRPr="003C332B">
        <w:rPr>
          <w:snapToGrid w:val="0"/>
        </w:rPr>
        <w:br w:type="page"/>
      </w:r>
    </w:p>
    <w:p w14:paraId="2B98511E" w14:textId="77777777" w:rsidR="0073004C" w:rsidRPr="003C332B" w:rsidRDefault="0073004C" w:rsidP="00803896">
      <w:pPr>
        <w:pStyle w:val="Titre1"/>
      </w:pPr>
      <w:bookmarkStart w:id="0" w:name="_Toc209430483"/>
      <w:r w:rsidRPr="003C332B">
        <w:lastRenderedPageBreak/>
        <w:t>Présentation du Service Prescripteur</w:t>
      </w:r>
      <w:bookmarkEnd w:id="0"/>
    </w:p>
    <w:p w14:paraId="219E2B72" w14:textId="77777777" w:rsidR="00803896" w:rsidRPr="007836DE" w:rsidRDefault="00803896" w:rsidP="00803896">
      <w:pPr>
        <w:pStyle w:val="NormalWeb"/>
        <w:rPr>
          <w:rStyle w:val="texttaille12"/>
          <w:b/>
        </w:rPr>
      </w:pPr>
      <w:r w:rsidRPr="007836DE">
        <w:rPr>
          <w:rStyle w:val="texttaille12"/>
          <w:b/>
        </w:rPr>
        <w:t>Présentation de l’AFD :</w:t>
      </w:r>
    </w:p>
    <w:p w14:paraId="4BF570CE" w14:textId="77777777" w:rsidR="00803896" w:rsidRPr="007836DE" w:rsidRDefault="00803896" w:rsidP="00803896">
      <w:pPr>
        <w:rPr>
          <w:rStyle w:val="texttaille12"/>
        </w:rPr>
      </w:pPr>
      <w:r w:rsidRPr="007836DE">
        <w:rPr>
          <w:rStyle w:val="texttaille12"/>
        </w:rPr>
        <w:t>L</w:t>
      </w:r>
      <w:r>
        <w:rPr>
          <w:rStyle w:val="texttaille12"/>
        </w:rPr>
        <w:t>’</w:t>
      </w:r>
      <w:r w:rsidRPr="007836DE">
        <w:rPr>
          <w:rStyle w:val="texttaille12"/>
          <w:b/>
        </w:rPr>
        <w:t>Agence française de développement</w:t>
      </w:r>
      <w:r w:rsidRPr="007836DE">
        <w:rPr>
          <w:rStyle w:val="texttaille12"/>
        </w:rPr>
        <w:t xml:space="preserve"> (AFD) est un établissement public qui finance, accompagne et accélère les transitions vers un monde plus juste et durable. Plateforme française d’aide publique au développement et d’investissement de développement durable, nous construisons avec nos partenaires des solutions partagées, avec et pour les populations du Sud.</w:t>
      </w:r>
    </w:p>
    <w:p w14:paraId="21F5781D" w14:textId="77777777" w:rsidR="00803896" w:rsidRPr="007836DE" w:rsidRDefault="00803896" w:rsidP="00803896">
      <w:pPr>
        <w:rPr>
          <w:rStyle w:val="texttaille12"/>
        </w:rPr>
      </w:pPr>
    </w:p>
    <w:p w14:paraId="610DABE0" w14:textId="77777777" w:rsidR="00803896" w:rsidRPr="00803896" w:rsidRDefault="00803896" w:rsidP="00803896">
      <w:pPr>
        <w:rPr>
          <w:rStyle w:val="texttaille12"/>
        </w:rPr>
      </w:pPr>
      <w:r w:rsidRPr="00803896">
        <w:rPr>
          <w:rStyle w:val="texttaille12"/>
        </w:rPr>
        <w:t>Nos équipes sont engagées dans plus de 4 000 projets sur le terrain, dans les Outre-mer et dans 115 pays, pour les biens communs de l’humanité – le climat, la biodiversité, la paix, l’égalité femmes-hommes, l’éducation ou encore la santé. Nous contribuons ainsi à l’engagement de la France et des Français en faveur des Objectifs de développement durable. Pour un monde en commun.</w:t>
      </w:r>
    </w:p>
    <w:p w14:paraId="6487AB2E" w14:textId="77777777" w:rsidR="00803896" w:rsidRPr="007836DE" w:rsidRDefault="00803896" w:rsidP="00803896">
      <w:pPr>
        <w:rPr>
          <w:rStyle w:val="texttaille12"/>
          <w:u w:val="single"/>
        </w:rPr>
      </w:pPr>
    </w:p>
    <w:p w14:paraId="43BEF8C0" w14:textId="77777777" w:rsidR="00803896" w:rsidRPr="007836DE" w:rsidRDefault="00803896" w:rsidP="00803896">
      <w:pPr>
        <w:rPr>
          <w:rStyle w:val="texttaille12"/>
        </w:rPr>
      </w:pPr>
      <w:r w:rsidRPr="007836DE">
        <w:rPr>
          <w:rStyle w:val="texttaille12"/>
        </w:rPr>
        <w:t>Au moyen de</w:t>
      </w:r>
      <w:r w:rsidRPr="007836DE">
        <w:t xml:space="preserve"> </w:t>
      </w:r>
      <w:hyperlink r:id="rId9" w:tooltip="Subventions AFD" w:history="1">
        <w:r w:rsidRPr="007836DE">
          <w:rPr>
            <w:rStyle w:val="lev"/>
            <w:b w:val="0"/>
          </w:rPr>
          <w:t>subventions,</w:t>
        </w:r>
        <w:r w:rsidRPr="007836DE">
          <w:rPr>
            <w:rStyle w:val="texttaille12"/>
          </w:rPr>
          <w:t xml:space="preserve"> </w:t>
        </w:r>
      </w:hyperlink>
      <w:r w:rsidRPr="007836DE">
        <w:rPr>
          <w:rStyle w:val="texttaille12"/>
        </w:rPr>
        <w:t>de</w:t>
      </w:r>
      <w:r w:rsidRPr="007836DE">
        <w:t xml:space="preserve"> </w:t>
      </w:r>
      <w:hyperlink r:id="rId10" w:tooltip="Prêts AFD" w:history="1">
        <w:r w:rsidRPr="007836DE">
          <w:rPr>
            <w:rStyle w:val="lev"/>
            <w:b w:val="0"/>
          </w:rPr>
          <w:t>prêts,</w:t>
        </w:r>
        <w:r w:rsidRPr="007836DE">
          <w:rPr>
            <w:rStyle w:val="texttaille12"/>
          </w:rPr>
          <w:t xml:space="preserve"> </w:t>
        </w:r>
      </w:hyperlink>
      <w:r w:rsidRPr="007836DE">
        <w:rPr>
          <w:rStyle w:val="texttaille12"/>
        </w:rPr>
        <w:t>de</w:t>
      </w:r>
      <w:r w:rsidRPr="007836DE">
        <w:t xml:space="preserve"> </w:t>
      </w:r>
      <w:hyperlink r:id="rId11" w:tooltip="garanties AFD" w:history="1">
        <w:r w:rsidRPr="007836DE">
          <w:rPr>
            <w:rStyle w:val="lev"/>
            <w:b w:val="0"/>
          </w:rPr>
          <w:t>fonds de garantie</w:t>
        </w:r>
        <w:r w:rsidRPr="007836DE">
          <w:rPr>
            <w:rStyle w:val="texttaille12"/>
          </w:rPr>
          <w:t xml:space="preserve"> </w:t>
        </w:r>
      </w:hyperlink>
      <w:r w:rsidRPr="007836DE">
        <w:rPr>
          <w:rStyle w:val="texttaille12"/>
        </w:rPr>
        <w:t>ou de</w:t>
      </w:r>
      <w:r w:rsidRPr="007836DE">
        <w:t xml:space="preserve"> </w:t>
      </w:r>
      <w:hyperlink r:id="rId12" w:tooltip="C2D AFD" w:history="1">
        <w:r w:rsidRPr="007836DE">
          <w:rPr>
            <w:rStyle w:val="lev"/>
            <w:b w:val="0"/>
          </w:rPr>
          <w:t>contrats de désendettement et de développement,</w:t>
        </w:r>
        <w:r w:rsidRPr="007836DE">
          <w:rPr>
            <w:rStyle w:val="texttaille12"/>
          </w:rPr>
          <w:t xml:space="preserve"> </w:t>
        </w:r>
      </w:hyperlink>
      <w:r w:rsidRPr="007836DE">
        <w:rPr>
          <w:rStyle w:val="texttaille12"/>
        </w:rPr>
        <w:t>l’AFD finance des projets, des programmes et des études et accompagne ses partenaires du Sud dans le</w:t>
      </w:r>
      <w:r w:rsidRPr="007836DE">
        <w:t xml:space="preserve"> </w:t>
      </w:r>
      <w:hyperlink r:id="rId13" w:tooltip="renforcement des capacités AFD" w:history="1">
        <w:r w:rsidRPr="007836DE">
          <w:rPr>
            <w:rStyle w:val="lev"/>
            <w:b w:val="0"/>
          </w:rPr>
          <w:t>renforcement de leurs capacités.</w:t>
        </w:r>
        <w:r w:rsidRPr="007836DE">
          <w:rPr>
            <w:rStyle w:val="texttaille12"/>
          </w:rPr>
          <w:t xml:space="preserve"> </w:t>
        </w:r>
      </w:hyperlink>
    </w:p>
    <w:p w14:paraId="1059ACF4" w14:textId="77777777" w:rsidR="00803896" w:rsidRPr="007836DE" w:rsidRDefault="00803896" w:rsidP="00803896"/>
    <w:p w14:paraId="5B4CBFE4" w14:textId="77777777" w:rsidR="00803896" w:rsidRPr="007836DE" w:rsidRDefault="00803896" w:rsidP="00803896">
      <w:r w:rsidRPr="007836DE">
        <w:t xml:space="preserve">Sa filiale </w:t>
      </w:r>
      <w:hyperlink r:id="rId14" w:tgtFrame="_blank" w:history="1">
        <w:r w:rsidRPr="007836DE">
          <w:rPr>
            <w:rStyle w:val="lev"/>
            <w:u w:val="single"/>
          </w:rPr>
          <w:t>Proparco</w:t>
        </w:r>
        <w:r w:rsidRPr="007836DE">
          <w:rPr>
            <w:rStyle w:val="mainsitecolor"/>
            <w:u w:val="single"/>
          </w:rPr>
          <w:t xml:space="preserve"> </w:t>
        </w:r>
      </w:hyperlink>
      <w:r w:rsidRPr="007836DE">
        <w:rPr>
          <w:rStyle w:val="mainsitecolor"/>
          <w:u w:val="single"/>
        </w:rPr>
        <w:t>(</w:t>
      </w:r>
      <w:hyperlink r:id="rId15" w:history="1">
        <w:r w:rsidRPr="007836DE">
          <w:rPr>
            <w:rStyle w:val="Lienhypertexte"/>
          </w:rPr>
          <w:t>www.proparco.fr</w:t>
        </w:r>
      </w:hyperlink>
      <w:r w:rsidRPr="007836DE">
        <w:rPr>
          <w:rStyle w:val="mainsitecolor"/>
          <w:u w:val="single"/>
        </w:rPr>
        <w:t xml:space="preserve">) </w:t>
      </w:r>
      <w:r w:rsidRPr="007836DE">
        <w:t xml:space="preserve">soutient les investissements privés. Dédiée à la mobilisation de l’expertise publique française, </w:t>
      </w:r>
      <w:r w:rsidRPr="007836DE">
        <w:rPr>
          <w:b/>
          <w:u w:val="single"/>
        </w:rPr>
        <w:t>Expertise France (EF)</w:t>
      </w:r>
      <w:r w:rsidRPr="007836DE">
        <w:t xml:space="preserve"> (</w:t>
      </w:r>
      <w:hyperlink r:id="rId16" w:history="1">
        <w:r w:rsidRPr="007836DE">
          <w:rPr>
            <w:rStyle w:val="Lienhypertexte"/>
          </w:rPr>
          <w:t>www.expertisefrance.fr</w:t>
        </w:r>
      </w:hyperlink>
      <w:r w:rsidRPr="007836DE">
        <w:t>) a juridiquement rejoint le Groupe AFD le 1</w:t>
      </w:r>
      <w:r w:rsidRPr="007836DE">
        <w:rPr>
          <w:vertAlign w:val="superscript"/>
        </w:rPr>
        <w:t>er</w:t>
      </w:r>
      <w:r w:rsidRPr="007836DE">
        <w:t xml:space="preserve"> janvier 2022.</w:t>
      </w:r>
    </w:p>
    <w:p w14:paraId="2A6A70F6" w14:textId="77777777" w:rsidR="00803896" w:rsidRPr="007836DE" w:rsidRDefault="00803896" w:rsidP="00803896"/>
    <w:p w14:paraId="507C4CC1" w14:textId="77777777" w:rsidR="00803896" w:rsidRPr="007836DE" w:rsidRDefault="00803896" w:rsidP="00803896">
      <w:r w:rsidRPr="007836DE">
        <w:t>L’AFD collabore également avec les réseaux académiques français et internationaux pour alimenter les débats et réflexions prospectives sur le développement.</w:t>
      </w:r>
    </w:p>
    <w:p w14:paraId="4B997B94" w14:textId="77777777" w:rsidR="00803896" w:rsidRPr="007836DE" w:rsidRDefault="00803896" w:rsidP="00803896"/>
    <w:p w14:paraId="5A26B315" w14:textId="77777777" w:rsidR="00803896" w:rsidRPr="007836DE" w:rsidRDefault="00803896" w:rsidP="00803896">
      <w:r w:rsidRPr="007836DE">
        <w:t xml:space="preserve">Elle assure la gestion du </w:t>
      </w:r>
      <w:hyperlink r:id="rId17" w:tgtFrame="_blank" w:history="1">
        <w:r w:rsidRPr="007836DE">
          <w:rPr>
            <w:rStyle w:val="lev"/>
            <w:u w:val="single"/>
          </w:rPr>
          <w:t>Fonds français pour l’environnement mondial (FFEM)</w:t>
        </w:r>
      </w:hyperlink>
      <w:r w:rsidRPr="007836DE">
        <w:t>, qui cofinance des projets conciliant environnement et développement.</w:t>
      </w:r>
    </w:p>
    <w:p w14:paraId="19B11010" w14:textId="77777777" w:rsidR="00803896" w:rsidRPr="007836DE" w:rsidRDefault="00803896" w:rsidP="00803896"/>
    <w:p w14:paraId="38C1EAB6" w14:textId="77777777" w:rsidR="00803896" w:rsidRPr="007836DE" w:rsidRDefault="00803896" w:rsidP="00803896">
      <w:r w:rsidRPr="007836DE">
        <w:t xml:space="preserve">L’ensemble des informations relatives à l’AFD, et notamment sa Charte d’Ethique que le prestataire est fortement invité à consulter, sont accessibles sur le lien suivant : </w:t>
      </w:r>
      <w:hyperlink r:id="rId18" w:history="1">
        <w:r w:rsidRPr="007836DE">
          <w:rPr>
            <w:rStyle w:val="Lienhypertexte"/>
          </w:rPr>
          <w:t>www.afd.fr</w:t>
        </w:r>
      </w:hyperlink>
      <w:r w:rsidRPr="007836DE">
        <w:t>.</w:t>
      </w:r>
    </w:p>
    <w:p w14:paraId="02562B1A" w14:textId="77777777" w:rsidR="00803896" w:rsidRPr="007836DE" w:rsidRDefault="00803896" w:rsidP="00803896">
      <w:pPr>
        <w:rPr>
          <w:rFonts w:eastAsia="Trebuchet MS"/>
        </w:rPr>
      </w:pPr>
    </w:p>
    <w:p w14:paraId="5B033D98" w14:textId="77777777" w:rsidR="00803896" w:rsidRPr="007836DE" w:rsidRDefault="00803896" w:rsidP="00803896">
      <w:r w:rsidRPr="007836DE">
        <w:t xml:space="preserve">Les prestations attendues à l’issue de cet appel d’offres, constitué de 2 lots, seront suivies par le Secrétariat Général de l’AFD (SGN), service prescripteur. </w:t>
      </w:r>
    </w:p>
    <w:p w14:paraId="265EE7A8" w14:textId="77777777" w:rsidR="00803896" w:rsidRPr="007836DE" w:rsidRDefault="00803896" w:rsidP="00803896"/>
    <w:p w14:paraId="21E9E00A" w14:textId="77777777" w:rsidR="00803896" w:rsidRPr="007836DE" w:rsidRDefault="00803896" w:rsidP="00803896">
      <w:r w:rsidRPr="007836DE">
        <w:t>Il est chargé des fonctions-support de l’AFD et d’une partie de celles de Proparco. Il couvre, à ce titre, les domaines suivants :</w:t>
      </w:r>
    </w:p>
    <w:p w14:paraId="2444A877" w14:textId="77777777" w:rsidR="00803896" w:rsidRPr="00FB23A8" w:rsidRDefault="00803896" w:rsidP="00FB23A8">
      <w:pPr>
        <w:pStyle w:val="Paragraphedeliste"/>
      </w:pPr>
      <w:r w:rsidRPr="00FB23A8">
        <w:t>Gestion du système d’information et conduite des projets d’évolution ;</w:t>
      </w:r>
    </w:p>
    <w:p w14:paraId="78FFA5FC" w14:textId="77777777" w:rsidR="00803896" w:rsidRPr="00FB23A8" w:rsidRDefault="00803896" w:rsidP="00FB23A8">
      <w:pPr>
        <w:pStyle w:val="Paragraphedeliste"/>
      </w:pPr>
      <w:r w:rsidRPr="00FB23A8">
        <w:t>Gestion des moyens (dont immobiliers) et des services généraux ;</w:t>
      </w:r>
    </w:p>
    <w:p w14:paraId="028F9CB4" w14:textId="77777777" w:rsidR="00803896" w:rsidRPr="00FB23A8" w:rsidRDefault="00803896" w:rsidP="00FB23A8">
      <w:pPr>
        <w:pStyle w:val="Paragraphedeliste"/>
      </w:pPr>
      <w:r w:rsidRPr="00FB23A8">
        <w:t>Sécurité des biens, des personnes et du système d’information ;</w:t>
      </w:r>
    </w:p>
    <w:p w14:paraId="5A7B4516" w14:textId="77777777" w:rsidR="00803896" w:rsidRPr="00FB23A8" w:rsidRDefault="00803896" w:rsidP="00FB23A8">
      <w:pPr>
        <w:pStyle w:val="Paragraphedeliste"/>
      </w:pPr>
      <w:r w:rsidRPr="00FB23A8">
        <w:t>Responsabilité environnementale interne du groupe ;</w:t>
      </w:r>
    </w:p>
    <w:p w14:paraId="46163077" w14:textId="77777777" w:rsidR="00803896" w:rsidRPr="00FB23A8" w:rsidRDefault="00803896" w:rsidP="00FB23A8">
      <w:pPr>
        <w:pStyle w:val="Paragraphedeliste"/>
      </w:pPr>
      <w:r w:rsidRPr="00FB23A8">
        <w:t>Achats du Groupe AFD ;</w:t>
      </w:r>
    </w:p>
    <w:p w14:paraId="5C4E1D0C" w14:textId="77777777" w:rsidR="00803896" w:rsidRPr="00FB23A8" w:rsidRDefault="00803896" w:rsidP="00FB23A8">
      <w:pPr>
        <w:pStyle w:val="Paragraphedeliste"/>
      </w:pPr>
      <w:r w:rsidRPr="00FB23A8">
        <w:t>Appui juridique de l’AFD (excepté le domaine du droit social et celui des risques de non-conformité).</w:t>
      </w:r>
    </w:p>
    <w:p w14:paraId="3BBD2AB4" w14:textId="77777777" w:rsidR="00803896" w:rsidRPr="007836DE" w:rsidRDefault="00803896" w:rsidP="00803896">
      <w:r w:rsidRPr="007836DE">
        <w:t>Le SGN intègre la fonction de Responsable Environnemental Interne (REI). C’est cette fonction REI qui assurera le suivi de la globalité de la prestation.</w:t>
      </w:r>
    </w:p>
    <w:p w14:paraId="22A113BE" w14:textId="77777777" w:rsidR="00987FAD" w:rsidRPr="003C332B" w:rsidRDefault="00987FAD" w:rsidP="00803896">
      <w:pPr>
        <w:rPr>
          <w:rFonts w:eastAsia="Trebuchet MS"/>
        </w:rPr>
      </w:pPr>
    </w:p>
    <w:p w14:paraId="187F1646" w14:textId="4A2A6C22" w:rsidR="000F7562" w:rsidRDefault="000F7562">
      <w:pPr>
        <w:jc w:val="left"/>
        <w:rPr>
          <w:rFonts w:eastAsia="Trebuchet MS"/>
        </w:rPr>
      </w:pPr>
      <w:r>
        <w:rPr>
          <w:rFonts w:eastAsia="Trebuchet MS"/>
        </w:rPr>
        <w:br w:type="page"/>
      </w:r>
    </w:p>
    <w:p w14:paraId="58832892" w14:textId="77777777" w:rsidR="00987FAD" w:rsidRPr="003C332B" w:rsidRDefault="00987FAD" w:rsidP="00803896">
      <w:pPr>
        <w:rPr>
          <w:rFonts w:eastAsia="Trebuchet MS"/>
        </w:rPr>
      </w:pPr>
    </w:p>
    <w:p w14:paraId="4CFD1CBC" w14:textId="77777777" w:rsidR="00090D84" w:rsidRPr="003C332B" w:rsidRDefault="00090D84" w:rsidP="00803896">
      <w:pPr>
        <w:pStyle w:val="Titre1"/>
      </w:pPr>
      <w:bookmarkStart w:id="1" w:name="_Toc209430484"/>
      <w:bookmarkStart w:id="2" w:name="_Toc322967809"/>
      <w:r w:rsidRPr="003C332B">
        <w:t>Objet du marché</w:t>
      </w:r>
      <w:bookmarkEnd w:id="1"/>
    </w:p>
    <w:p w14:paraId="254425ED" w14:textId="77777777" w:rsidR="00090D84" w:rsidRPr="003C332B" w:rsidRDefault="00090D84" w:rsidP="00803896"/>
    <w:p w14:paraId="7A417575" w14:textId="77777777" w:rsidR="00803896" w:rsidRPr="007836DE" w:rsidRDefault="00803896" w:rsidP="00803896">
      <w:r w:rsidRPr="007836DE">
        <w:t>Le présent marché a pour objet l’acquisition d’unités de réduction vérifiées d’émissions (URVE ; 1 URVE = 1 tCO2e)</w:t>
      </w:r>
      <w:r w:rsidRPr="003A6678">
        <w:t>. Le service prescripteur souhaite couvrir les volumes d’émissions suivant</w:t>
      </w:r>
      <w:r>
        <w:t>s</w:t>
      </w:r>
      <w:r w:rsidRPr="007836DE">
        <w:t>, sous forme de deux lots :</w:t>
      </w:r>
    </w:p>
    <w:p w14:paraId="3C441326" w14:textId="12B1168B" w:rsidR="00803896" w:rsidRPr="007836DE" w:rsidRDefault="00803896" w:rsidP="00FB23A8">
      <w:pPr>
        <w:pStyle w:val="Paragraphedeliste"/>
      </w:pPr>
      <w:r w:rsidRPr="007836DE">
        <w:rPr>
          <w:u w:val="single"/>
        </w:rPr>
        <w:t>Lot 1</w:t>
      </w:r>
      <w:r w:rsidRPr="007836DE">
        <w:t xml:space="preserve"> : compensation des émissions </w:t>
      </w:r>
      <w:r>
        <w:t>de</w:t>
      </w:r>
      <w:r w:rsidRPr="007836DE">
        <w:t xml:space="preserve"> l’année 202</w:t>
      </w:r>
      <w:r w:rsidR="00FB23A8">
        <w:t>4</w:t>
      </w:r>
      <w:r>
        <w:t xml:space="preserve"> du Siège,</w:t>
      </w:r>
      <w:r w:rsidRPr="007836DE">
        <w:t xml:space="preserve"> soit </w:t>
      </w:r>
      <w:r w:rsidR="007B3F21" w:rsidRPr="007B3F21">
        <w:t>32</w:t>
      </w:r>
      <w:r w:rsidR="007B3F21">
        <w:t xml:space="preserve"> </w:t>
      </w:r>
      <w:r w:rsidR="007B3F21" w:rsidRPr="007B3F21">
        <w:t xml:space="preserve">272 </w:t>
      </w:r>
      <w:r w:rsidRPr="007836DE">
        <w:t>teqCO2</w:t>
      </w:r>
      <w:r>
        <w:t> ;</w:t>
      </w:r>
    </w:p>
    <w:p w14:paraId="1A9F6635" w14:textId="47A3913F" w:rsidR="00803896" w:rsidRPr="007836DE" w:rsidRDefault="00803896" w:rsidP="00FB23A8">
      <w:pPr>
        <w:pStyle w:val="Paragraphedeliste"/>
        <w:rPr>
          <w:u w:val="single"/>
        </w:rPr>
      </w:pPr>
      <w:r w:rsidRPr="007836DE">
        <w:rPr>
          <w:u w:val="single"/>
        </w:rPr>
        <w:t>Lot 2</w:t>
      </w:r>
      <w:r w:rsidRPr="007836DE">
        <w:t xml:space="preserve"> : compensation des émissions </w:t>
      </w:r>
      <w:r>
        <w:t>de</w:t>
      </w:r>
      <w:r w:rsidRPr="007836DE">
        <w:t xml:space="preserve"> l’année 202</w:t>
      </w:r>
      <w:r w:rsidR="00FB23A8">
        <w:t>4</w:t>
      </w:r>
      <w:r>
        <w:t xml:space="preserve"> du Réseau,</w:t>
      </w:r>
      <w:r w:rsidRPr="007836DE">
        <w:t xml:space="preserve"> soit </w:t>
      </w:r>
      <w:r>
        <w:t>1</w:t>
      </w:r>
      <w:r w:rsidR="007B3F21">
        <w:t>5 785</w:t>
      </w:r>
      <w:r w:rsidRPr="007836DE">
        <w:t xml:space="preserve"> teqCO2</w:t>
      </w:r>
      <w:r>
        <w:t>.</w:t>
      </w:r>
    </w:p>
    <w:p w14:paraId="51AB552D" w14:textId="47EEAE1C" w:rsidR="00090D84" w:rsidRPr="003C332B" w:rsidRDefault="00090D84" w:rsidP="00803896"/>
    <w:p w14:paraId="2A9A3CD8" w14:textId="77777777" w:rsidR="00BA7730" w:rsidRPr="003C332B" w:rsidRDefault="00BA7730" w:rsidP="00803896"/>
    <w:p w14:paraId="5E864263" w14:textId="25EF9AD3" w:rsidR="00BB118B" w:rsidRPr="003C332B" w:rsidRDefault="00BB118B" w:rsidP="00803896">
      <w:pPr>
        <w:pStyle w:val="Titre1"/>
        <w:rPr>
          <w:i/>
        </w:rPr>
      </w:pPr>
      <w:bookmarkStart w:id="3" w:name="_Toc209430485"/>
      <w:r w:rsidRPr="003C332B">
        <w:t xml:space="preserve">Contexte </w:t>
      </w:r>
      <w:r w:rsidR="002F54BA" w:rsidRPr="003C332B">
        <w:t>et objectif</w:t>
      </w:r>
      <w:r w:rsidR="00B34641" w:rsidRPr="003C332B">
        <w:t>s</w:t>
      </w:r>
      <w:r w:rsidR="002F54BA" w:rsidRPr="003C332B">
        <w:t xml:space="preserve"> </w:t>
      </w:r>
      <w:r w:rsidRPr="003C332B">
        <w:t>de la mission</w:t>
      </w:r>
      <w:bookmarkEnd w:id="2"/>
      <w:bookmarkEnd w:id="3"/>
    </w:p>
    <w:p w14:paraId="5FADAA54" w14:textId="77777777" w:rsidR="00BB118B" w:rsidRPr="003C332B" w:rsidRDefault="00BB118B" w:rsidP="00803896">
      <w:pPr>
        <w:rPr>
          <w:highlight w:val="yellow"/>
        </w:rPr>
      </w:pPr>
      <w:bookmarkStart w:id="4" w:name="_Toc322957279"/>
    </w:p>
    <w:bookmarkEnd w:id="4"/>
    <w:p w14:paraId="360E5D8F" w14:textId="77777777" w:rsidR="00FB23A8" w:rsidRPr="00FB23A8" w:rsidRDefault="00FB23A8" w:rsidP="00FB23A8">
      <w:r w:rsidRPr="00FB23A8">
        <w:t xml:space="preserve">Forte de plus de 10 ans d’expérience sur le sujet, l’AFD s’est dotée en 2017 d’une stratégie climat ambitieuse faisant évoluer son mandat pour qu’elle devienne « la première banque de développement à mettre en œuvre l’Accord de Paris ». La stratégie climat fixe un cap pour le Groupe AFD, articulé autour de 4 engagements : </w:t>
      </w:r>
    </w:p>
    <w:p w14:paraId="6028131C" w14:textId="77777777" w:rsidR="00FB23A8" w:rsidRPr="00FB23A8" w:rsidRDefault="00FB23A8" w:rsidP="00FB23A8">
      <w:pPr>
        <w:pStyle w:val="Paragraphedeliste"/>
      </w:pPr>
      <w:r w:rsidRPr="00FB23A8">
        <w:t>Assurer une activité “100% Accord de Paris” ;</w:t>
      </w:r>
    </w:p>
    <w:p w14:paraId="7C72030B" w14:textId="77777777" w:rsidR="00FB23A8" w:rsidRPr="00FB23A8" w:rsidRDefault="00FB23A8" w:rsidP="00FB23A8">
      <w:pPr>
        <w:pStyle w:val="Paragraphedeliste"/>
      </w:pPr>
      <w:r w:rsidRPr="00FB23A8">
        <w:t>Augmenter les volumes de finance climat ;</w:t>
      </w:r>
    </w:p>
    <w:p w14:paraId="3CEBB016" w14:textId="77777777" w:rsidR="00FB23A8" w:rsidRPr="00FB23A8" w:rsidRDefault="00FB23A8" w:rsidP="00FB23A8">
      <w:pPr>
        <w:pStyle w:val="Paragraphedeliste"/>
      </w:pPr>
      <w:r w:rsidRPr="00FB23A8">
        <w:t>Rediriger les flux financiers ;</w:t>
      </w:r>
    </w:p>
    <w:p w14:paraId="38CF15D5" w14:textId="038C80D8" w:rsidR="00FB23A8" w:rsidRPr="00FB23A8" w:rsidRDefault="000F7562" w:rsidP="00FB23A8">
      <w:pPr>
        <w:pStyle w:val="Paragraphedeliste"/>
      </w:pPr>
      <w:r w:rsidRPr="00FB23A8">
        <w:t>Coconstruire</w:t>
      </w:r>
      <w:r w:rsidR="00FB23A8" w:rsidRPr="00FB23A8">
        <w:t xml:space="preserve"> les solutions et peser sur les normes.</w:t>
      </w:r>
    </w:p>
    <w:p w14:paraId="7B855E0C" w14:textId="77777777" w:rsidR="00FB23A8" w:rsidRPr="00FB23A8" w:rsidRDefault="00FB23A8" w:rsidP="00FB23A8"/>
    <w:p w14:paraId="4675F21D" w14:textId="77777777" w:rsidR="00FB23A8" w:rsidRPr="00FB23A8" w:rsidRDefault="00FB23A8" w:rsidP="00FB23A8">
      <w:r w:rsidRPr="00FB23A8">
        <w:t>Parallèlement, l’AFD n’a cessé de renforcer ses engagements internes en la matière, dans le cadre de sa politique de Responsabilité Sociétale des Organisations (RSO). Les actions correspondantes, en majeure partie portées par les métiers du SGN, ont couvert progressivement les champs de l’immobilier, de la gestion des déchets, des achats, des consommations (énergie, consommables, alimentaires…), des déplacements professionnels et, plus récemment, du « green IT » et de la sobriété énergétique. Les implantations locales du Groupe AFD participent progressivement et à leur mesure de cette dynamique.</w:t>
      </w:r>
    </w:p>
    <w:p w14:paraId="35D610D6" w14:textId="77777777" w:rsidR="00FB23A8" w:rsidRPr="00FB23A8" w:rsidRDefault="00FB23A8" w:rsidP="00FB23A8"/>
    <w:p w14:paraId="7050B476" w14:textId="77777777" w:rsidR="00FB23A8" w:rsidRPr="00FB23A8" w:rsidRDefault="00FB23A8" w:rsidP="00FB23A8">
      <w:r w:rsidRPr="00FB23A8">
        <w:t>Depuis 2007, l’AFD contribue, à travers l’achat de crédits carbone, à l’atténuation des émissions de CO2 à hauteur de celles liées à ses implantations, d’abord de France métropolitaine puis du monde entier depuis 2012.</w:t>
      </w:r>
    </w:p>
    <w:p w14:paraId="63280116" w14:textId="77777777" w:rsidR="00FB23A8" w:rsidRPr="00FB23A8" w:rsidRDefault="00FB23A8" w:rsidP="00FB23A8"/>
    <w:p w14:paraId="10BE8A54" w14:textId="77777777" w:rsidR="00FB23A8" w:rsidRPr="00FB23A8" w:rsidRDefault="00FB23A8" w:rsidP="00FB23A8">
      <w:r w:rsidRPr="00FB23A8">
        <w:t>Ce marché s’inscrit dans cette droite ligne et demande au prestataire de fournir une liste de projets permettant d’atteindre cette cible.</w:t>
      </w:r>
    </w:p>
    <w:p w14:paraId="164C9067" w14:textId="77777777" w:rsidR="002B7927" w:rsidRPr="003C332B" w:rsidRDefault="002B7927" w:rsidP="00803896"/>
    <w:p w14:paraId="319C2D2F" w14:textId="2B6F681E" w:rsidR="00BB118B" w:rsidRPr="003C332B" w:rsidRDefault="00483791" w:rsidP="00803896">
      <w:pPr>
        <w:pStyle w:val="Titre1"/>
        <w:rPr>
          <w:i/>
        </w:rPr>
      </w:pPr>
      <w:bookmarkStart w:id="5" w:name="_Toc209430486"/>
      <w:r w:rsidRPr="003C332B">
        <w:t>Prestation attendue</w:t>
      </w:r>
      <w:bookmarkEnd w:id="5"/>
    </w:p>
    <w:p w14:paraId="4F7E3BF7" w14:textId="77777777" w:rsidR="00BB118B" w:rsidRPr="003C332B" w:rsidRDefault="00BB118B" w:rsidP="00803896"/>
    <w:p w14:paraId="04B63D9D" w14:textId="77777777" w:rsidR="00FB23A8" w:rsidRPr="00FB23A8" w:rsidRDefault="00FB23A8" w:rsidP="00FB23A8">
      <w:r w:rsidRPr="00FB23A8">
        <w:t xml:space="preserve">La prestation se décompose en deux lots distincts indépendants, qui pourront être attribués à un ou deux candidats, indépendamment l’un de l’autre, lors du présent appel d’offres. </w:t>
      </w:r>
    </w:p>
    <w:p w14:paraId="5E665247" w14:textId="77777777" w:rsidR="00FB23A8" w:rsidRPr="00FB23A8" w:rsidRDefault="00FB23A8" w:rsidP="00FB23A8"/>
    <w:p w14:paraId="166F4802" w14:textId="77777777" w:rsidR="00FB23A8" w:rsidRPr="00FB23A8" w:rsidRDefault="00FB23A8" w:rsidP="00FB23A8">
      <w:r w:rsidRPr="00FB23A8">
        <w:t>Les critères suivants seront appliqués de manière identique, pour chacun des deux lots, pour la sélection des projets de compensation carbone générateurs d’URVE :</w:t>
      </w:r>
    </w:p>
    <w:p w14:paraId="462A42E0" w14:textId="77777777" w:rsidR="00FB23A8" w:rsidRPr="007657A8" w:rsidRDefault="00FB23A8" w:rsidP="007657A8">
      <w:pPr>
        <w:pStyle w:val="Paragraphedeliste"/>
      </w:pPr>
      <w:r w:rsidRPr="007657A8">
        <w:t>Les projets présentés devront être terminés afin que les émissions aient déjà été évitées. Il s’agira donc de projets dit « ex-post » ;</w:t>
      </w:r>
    </w:p>
    <w:p w14:paraId="7CD68BAA" w14:textId="2FE42B7E" w:rsidR="00BA7730" w:rsidRPr="007657A8" w:rsidRDefault="00FB23A8" w:rsidP="007657A8">
      <w:pPr>
        <w:pStyle w:val="Paragraphedeliste"/>
      </w:pPr>
      <w:r w:rsidRPr="007657A8">
        <w:t xml:space="preserve">Les projets présentés devront avoir été conduits dans l’un des pays d’intervention du Groupe AFD (voir la liste des projets financés par l’AFD à cette adresse : </w:t>
      </w:r>
      <w:hyperlink r:id="rId19" w:history="1">
        <w:r w:rsidRPr="007657A8">
          <w:rPr>
            <w:rStyle w:val="Lienhypertexte"/>
            <w:color w:val="auto"/>
            <w:u w:val="none"/>
          </w:rPr>
          <w:t>https://www.afd.fr/fr/projets/liste</w:t>
        </w:r>
      </w:hyperlink>
      <w:r w:rsidRPr="007657A8">
        <w:t xml:space="preserve">). </w:t>
      </w:r>
    </w:p>
    <w:p w14:paraId="75256E27" w14:textId="1E48902C" w:rsidR="00FB23A8" w:rsidRDefault="008611AE" w:rsidP="007657A8">
      <w:pPr>
        <w:pStyle w:val="Paragraphedeliste"/>
      </w:pPr>
      <w:r w:rsidRPr="007657A8">
        <w:t>A titre d’exception, les projets relatifs aux énergies renouvelables en Chine ne pourront être acceptés</w:t>
      </w:r>
    </w:p>
    <w:p w14:paraId="45121A63" w14:textId="520F12F2" w:rsidR="000F7562" w:rsidRDefault="000F7562">
      <w:pPr>
        <w:jc w:val="left"/>
        <w:rPr>
          <w:rFonts w:eastAsia="Calibri"/>
          <w:szCs w:val="22"/>
          <w:lang w:eastAsia="en-US"/>
        </w:rPr>
      </w:pPr>
      <w:r>
        <w:br w:type="page"/>
      </w:r>
    </w:p>
    <w:p w14:paraId="2756AC7A" w14:textId="77777777" w:rsidR="000F7562" w:rsidRPr="007657A8" w:rsidRDefault="000F7562" w:rsidP="000F7562">
      <w:pPr>
        <w:pStyle w:val="Paragraphedeliste"/>
        <w:numPr>
          <w:ilvl w:val="0"/>
          <w:numId w:val="0"/>
        </w:numPr>
        <w:ind w:left="1440"/>
      </w:pPr>
    </w:p>
    <w:p w14:paraId="3F0BA81A" w14:textId="60710E32" w:rsidR="0068285B" w:rsidRPr="003C332B" w:rsidRDefault="0068285B" w:rsidP="00803896">
      <w:pPr>
        <w:pStyle w:val="Titre1"/>
      </w:pPr>
      <w:bookmarkStart w:id="6" w:name="_Toc175819330"/>
      <w:bookmarkStart w:id="7" w:name="_Toc175819479"/>
      <w:bookmarkStart w:id="8" w:name="_Toc175835549"/>
      <w:bookmarkStart w:id="9" w:name="_Toc175819333"/>
      <w:bookmarkStart w:id="10" w:name="_Toc175819482"/>
      <w:bookmarkStart w:id="11" w:name="_Toc175835552"/>
      <w:bookmarkStart w:id="12" w:name="_Toc175819334"/>
      <w:bookmarkStart w:id="13" w:name="_Toc175819483"/>
      <w:bookmarkStart w:id="14" w:name="_Toc175835553"/>
      <w:bookmarkStart w:id="15" w:name="_Toc175819335"/>
      <w:bookmarkStart w:id="16" w:name="_Toc175819484"/>
      <w:bookmarkStart w:id="17" w:name="_Toc175835554"/>
      <w:bookmarkStart w:id="18" w:name="_Toc175819336"/>
      <w:bookmarkStart w:id="19" w:name="_Toc175819485"/>
      <w:bookmarkStart w:id="20" w:name="_Toc175835555"/>
      <w:bookmarkStart w:id="21" w:name="_Toc175819337"/>
      <w:bookmarkStart w:id="22" w:name="_Toc175819486"/>
      <w:bookmarkStart w:id="23" w:name="_Toc175835556"/>
      <w:bookmarkStart w:id="24" w:name="_Toc175819339"/>
      <w:bookmarkStart w:id="25" w:name="_Toc175819488"/>
      <w:bookmarkStart w:id="26" w:name="_Toc175835558"/>
      <w:bookmarkStart w:id="27" w:name="_Toc175819341"/>
      <w:bookmarkStart w:id="28" w:name="_Toc175819490"/>
      <w:bookmarkStart w:id="29" w:name="_Toc175835560"/>
      <w:bookmarkStart w:id="30" w:name="_Toc175819345"/>
      <w:bookmarkStart w:id="31" w:name="_Toc175819494"/>
      <w:bookmarkStart w:id="32" w:name="_Toc175835564"/>
      <w:bookmarkStart w:id="33" w:name="_Toc175819346"/>
      <w:bookmarkStart w:id="34" w:name="_Toc175819495"/>
      <w:bookmarkStart w:id="35" w:name="_Toc175835565"/>
      <w:bookmarkStart w:id="36" w:name="_Toc175819347"/>
      <w:bookmarkStart w:id="37" w:name="_Toc175819496"/>
      <w:bookmarkStart w:id="38" w:name="_Toc175835566"/>
      <w:bookmarkStart w:id="39" w:name="_Toc175819348"/>
      <w:bookmarkStart w:id="40" w:name="_Toc175819497"/>
      <w:bookmarkStart w:id="41" w:name="_Toc175835567"/>
      <w:bookmarkStart w:id="42" w:name="_Toc175819349"/>
      <w:bookmarkStart w:id="43" w:name="_Toc175819498"/>
      <w:bookmarkStart w:id="44" w:name="_Toc175835568"/>
      <w:bookmarkStart w:id="45" w:name="_Toc175819350"/>
      <w:bookmarkStart w:id="46" w:name="_Toc175819499"/>
      <w:bookmarkStart w:id="47" w:name="_Toc175835569"/>
      <w:bookmarkStart w:id="48" w:name="_Toc175819351"/>
      <w:bookmarkStart w:id="49" w:name="_Toc175819500"/>
      <w:bookmarkStart w:id="50" w:name="_Toc175835570"/>
      <w:bookmarkStart w:id="51" w:name="_Toc175819352"/>
      <w:bookmarkStart w:id="52" w:name="_Toc175819501"/>
      <w:bookmarkStart w:id="53" w:name="_Toc175835571"/>
      <w:bookmarkStart w:id="54" w:name="_Toc175819353"/>
      <w:bookmarkStart w:id="55" w:name="_Toc175819502"/>
      <w:bookmarkStart w:id="56" w:name="_Toc175835572"/>
      <w:bookmarkStart w:id="57" w:name="_Toc175819354"/>
      <w:bookmarkStart w:id="58" w:name="_Toc175819503"/>
      <w:bookmarkStart w:id="59" w:name="_Toc175835573"/>
      <w:bookmarkStart w:id="60" w:name="_Toc175819355"/>
      <w:bookmarkStart w:id="61" w:name="_Toc175819504"/>
      <w:bookmarkStart w:id="62" w:name="_Toc175835574"/>
      <w:bookmarkStart w:id="63" w:name="_Toc175819357"/>
      <w:bookmarkStart w:id="64" w:name="_Toc175819506"/>
      <w:bookmarkStart w:id="65" w:name="_Toc175835576"/>
      <w:bookmarkStart w:id="66" w:name="_Toc175819358"/>
      <w:bookmarkStart w:id="67" w:name="_Toc175819507"/>
      <w:bookmarkStart w:id="68" w:name="_Toc175835577"/>
      <w:bookmarkStart w:id="69" w:name="_Toc175819359"/>
      <w:bookmarkStart w:id="70" w:name="_Toc175819508"/>
      <w:bookmarkStart w:id="71" w:name="_Toc175835578"/>
      <w:bookmarkStart w:id="72" w:name="_Toc209430487"/>
      <w:bookmarkStart w:id="73" w:name="_Toc32296781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3C332B">
        <w:t>Livrables attendus</w:t>
      </w:r>
      <w:bookmarkEnd w:id="72"/>
    </w:p>
    <w:p w14:paraId="30049480" w14:textId="77777777" w:rsidR="00BA7730" w:rsidRPr="003C332B" w:rsidRDefault="00BA7730" w:rsidP="00803896"/>
    <w:p w14:paraId="308046BC" w14:textId="77777777" w:rsidR="008611AE" w:rsidRDefault="008611AE" w:rsidP="008611AE">
      <w:r>
        <w:t>Le prestataire devra fournir l’ensemble des attestations et certificats permettant de prouver que les URVE cédées ont bien été produites, certifiées, validées et cédées uniquement au bénéfice du Groupe AFD dans le cadre du présent appel d’offres.</w:t>
      </w:r>
    </w:p>
    <w:p w14:paraId="442656D7" w14:textId="77777777" w:rsidR="008611AE" w:rsidRDefault="008611AE" w:rsidP="008611AE"/>
    <w:p w14:paraId="0DDE46F5" w14:textId="698A5C81" w:rsidR="008611AE" w:rsidRDefault="008611AE" w:rsidP="008611AE">
      <w:r>
        <w:t>Le titulaire assurera la livraison des URVE avant le 31 décembre 2025. Par ailleurs, à la livraison, il devra démontrer :</w:t>
      </w:r>
    </w:p>
    <w:p w14:paraId="2354D81B" w14:textId="2234C488" w:rsidR="008611AE" w:rsidRDefault="008611AE" w:rsidP="008611AE">
      <w:pPr>
        <w:pStyle w:val="Paragraphedeliste"/>
      </w:pPr>
      <w:r>
        <w:t>La propriété des URVE sur un compte registre,</w:t>
      </w:r>
    </w:p>
    <w:p w14:paraId="08F35901" w14:textId="70AAD9F4" w:rsidR="008611AE" w:rsidRDefault="008611AE" w:rsidP="008611AE">
      <w:pPr>
        <w:pStyle w:val="Paragraphedeliste"/>
      </w:pPr>
      <w:r>
        <w:t>Leur transfert vers un compte AFD à créer à cet effet.</w:t>
      </w:r>
    </w:p>
    <w:p w14:paraId="7AAA42FE" w14:textId="77777777" w:rsidR="008611AE" w:rsidRDefault="008611AE" w:rsidP="008611AE"/>
    <w:p w14:paraId="04EAB4E3" w14:textId="70D8FCFC" w:rsidR="0068285B" w:rsidRPr="003C332B" w:rsidRDefault="008611AE" w:rsidP="008611AE">
      <w:r>
        <w:t>Le groupe AFD s’engage à collaborer totalement avec le titulaire et prendre toute initiative jugée raisonnable, appropriée et nécessaire au transfert et à l’acquisition de ces URVE conformément aux termes du présent Marché.</w:t>
      </w:r>
    </w:p>
    <w:p w14:paraId="248C40D2" w14:textId="77777777" w:rsidR="00BA7730" w:rsidRPr="003C332B" w:rsidRDefault="00BA7730" w:rsidP="00803896"/>
    <w:p w14:paraId="7F6DFE20" w14:textId="02343896" w:rsidR="0068285B" w:rsidRPr="003C332B" w:rsidRDefault="0068285B" w:rsidP="00803896">
      <w:pPr>
        <w:pStyle w:val="Titre1"/>
      </w:pPr>
      <w:bookmarkStart w:id="74" w:name="_Toc209430488"/>
      <w:r w:rsidRPr="003C332B">
        <w:t>Modalité d’exécution</w:t>
      </w:r>
      <w:bookmarkEnd w:id="74"/>
    </w:p>
    <w:p w14:paraId="6F2CE666" w14:textId="250D5709" w:rsidR="003232F9" w:rsidRPr="003C332B" w:rsidRDefault="003232F9" w:rsidP="00803896">
      <w:pPr>
        <w:pStyle w:val="Titre2"/>
      </w:pPr>
      <w:bookmarkStart w:id="75" w:name="_Toc209430489"/>
      <w:r w:rsidRPr="003C332B">
        <w:t>Méthodologie attendue</w:t>
      </w:r>
      <w:bookmarkEnd w:id="75"/>
    </w:p>
    <w:p w14:paraId="055B413E" w14:textId="77777777" w:rsidR="00BA7730" w:rsidRPr="003C332B" w:rsidRDefault="00BA7730" w:rsidP="008611AE"/>
    <w:p w14:paraId="71A5EE20" w14:textId="77777777" w:rsidR="008611AE" w:rsidRPr="008611AE" w:rsidRDefault="008611AE" w:rsidP="008611AE">
      <w:pPr>
        <w:rPr>
          <w:lang w:eastAsia="en-US"/>
        </w:rPr>
      </w:pPr>
      <w:r w:rsidRPr="008611AE">
        <w:rPr>
          <w:lang w:eastAsia="en-US"/>
        </w:rPr>
        <w:t xml:space="preserve">La prestation devra proposer un ensemble de projets précis ayant les caractéristiques suivantes basées sur les bonnes pratiques recommandées par l’ADEME : </w:t>
      </w:r>
    </w:p>
    <w:p w14:paraId="05AD3372" w14:textId="77777777" w:rsidR="008611AE" w:rsidRPr="008611AE" w:rsidRDefault="008611AE" w:rsidP="008611AE">
      <w:pPr>
        <w:rPr>
          <w:lang w:eastAsia="en-US"/>
        </w:rPr>
      </w:pPr>
    </w:p>
    <w:p w14:paraId="609B4C97" w14:textId="77777777" w:rsidR="008611AE" w:rsidRPr="008611AE" w:rsidRDefault="008611AE" w:rsidP="007657A8">
      <w:pPr>
        <w:pStyle w:val="Paragraphedeliste"/>
      </w:pPr>
      <w:r w:rsidRPr="008611AE">
        <w:t>Les projets sélectionnés devront être labellisés (voir ci-dessous) et répondre à des exigences de réduction réelle, vérifiable, additionnelle, traçable et permanente (notamment en termes de résilience et d’adaptation au changement climatique). Le label choisi devra être reconnu au niveau international et ses exigences consultables facilement.</w:t>
      </w:r>
    </w:p>
    <w:p w14:paraId="40D63531" w14:textId="77777777" w:rsidR="008611AE" w:rsidRPr="008611AE" w:rsidRDefault="008611AE" w:rsidP="007657A8">
      <w:pPr>
        <w:pStyle w:val="Paragraphedeliste"/>
      </w:pPr>
    </w:p>
    <w:p w14:paraId="74C367B3" w14:textId="0E32E7FB" w:rsidR="008611AE" w:rsidRPr="008611AE" w:rsidRDefault="008611AE" w:rsidP="007657A8">
      <w:pPr>
        <w:pStyle w:val="Paragraphedeliste"/>
      </w:pPr>
      <w:r w:rsidRPr="008611AE">
        <w:t xml:space="preserve">Les labels sous-jacents éligibles sont :  </w:t>
      </w:r>
    </w:p>
    <w:p w14:paraId="076E2223" w14:textId="0D6267BE" w:rsidR="008611AE" w:rsidRPr="008611AE" w:rsidRDefault="008611AE" w:rsidP="007657A8">
      <w:pPr>
        <w:pStyle w:val="Paragraphedeliste"/>
        <w:numPr>
          <w:ilvl w:val="1"/>
          <w:numId w:val="22"/>
        </w:numPr>
      </w:pPr>
      <w:r w:rsidRPr="008611AE">
        <w:t>Gold Standard ;</w:t>
      </w:r>
    </w:p>
    <w:p w14:paraId="27203F9B" w14:textId="3CD38D37" w:rsidR="008611AE" w:rsidRPr="008611AE" w:rsidRDefault="008611AE" w:rsidP="007657A8">
      <w:pPr>
        <w:pStyle w:val="Paragraphedeliste"/>
        <w:numPr>
          <w:ilvl w:val="1"/>
          <w:numId w:val="22"/>
        </w:numPr>
      </w:pPr>
      <w:r w:rsidRPr="008611AE">
        <w:t>VERRA ;</w:t>
      </w:r>
    </w:p>
    <w:p w14:paraId="1B34DB34" w14:textId="00DAC847" w:rsidR="008611AE" w:rsidRPr="008611AE" w:rsidRDefault="008611AE" w:rsidP="007657A8">
      <w:pPr>
        <w:pStyle w:val="Paragraphedeliste"/>
        <w:numPr>
          <w:ilvl w:val="1"/>
          <w:numId w:val="22"/>
        </w:numPr>
      </w:pPr>
      <w:proofErr w:type="gramStart"/>
      <w:r w:rsidRPr="008611AE">
        <w:t>ou</w:t>
      </w:r>
      <w:proofErr w:type="gramEnd"/>
      <w:r w:rsidRPr="008611AE">
        <w:t xml:space="preserve"> tout autre label équivalent (à démontrer par le candidat). </w:t>
      </w:r>
    </w:p>
    <w:p w14:paraId="55CA0EB7" w14:textId="77777777" w:rsidR="008611AE" w:rsidRPr="008611AE" w:rsidRDefault="008611AE" w:rsidP="007657A8">
      <w:pPr>
        <w:pStyle w:val="Paragraphedeliste"/>
      </w:pPr>
    </w:p>
    <w:p w14:paraId="43A35E7E" w14:textId="640F34EC" w:rsidR="008611AE" w:rsidRPr="008611AE" w:rsidRDefault="008611AE" w:rsidP="007657A8">
      <w:pPr>
        <w:pStyle w:val="Paragraphedeliste"/>
      </w:pPr>
      <w:r w:rsidRPr="008611AE">
        <w:t>Depuis le 31/12/2020, le Mécanisme de Développement Propre (MDP), issu du protocole de Kyoto, n’est plus en place et, malgré la période de transition qui courait jusqu’au 31/12/2022, son successeur, tel que prévu par l’Accord de Paris et précisé lors de la COP 26 de Glasgow, n’est pas encore entièrement connu dans ses détails. Dans ces conditions, les projets sélectionnés devront être, dans la mesure du possible, éligibles à l’article 6.4 de l’Accord de Paris. Ce point fera l’objet à une attention toute particulière.</w:t>
      </w:r>
    </w:p>
    <w:p w14:paraId="6D6CE3B5" w14:textId="77777777" w:rsidR="008611AE" w:rsidRPr="008611AE" w:rsidRDefault="008611AE" w:rsidP="007657A8">
      <w:pPr>
        <w:pStyle w:val="Paragraphedeliste"/>
      </w:pPr>
    </w:p>
    <w:p w14:paraId="05689217" w14:textId="6FEA818A" w:rsidR="008611AE" w:rsidRPr="008611AE" w:rsidRDefault="008611AE" w:rsidP="007657A8">
      <w:pPr>
        <w:pStyle w:val="Paragraphedeliste"/>
      </w:pPr>
      <w:r w:rsidRPr="008611AE">
        <w:t xml:space="preserve">Les projets présentant des </w:t>
      </w:r>
      <w:proofErr w:type="spellStart"/>
      <w:r w:rsidRPr="008611AE">
        <w:t>co</w:t>
      </w:r>
      <w:proofErr w:type="spellEnd"/>
      <w:r w:rsidRPr="008611AE">
        <w:t>-bénéfices en termes de « développement durable », de types sociaux et environnementaux (préservation de la biodiversité, préservation des ressources naturelles, etc.) seront particulièrement valorisés.</w:t>
      </w:r>
    </w:p>
    <w:p w14:paraId="17B92F3C" w14:textId="77777777" w:rsidR="008611AE" w:rsidRPr="008611AE" w:rsidRDefault="008611AE" w:rsidP="007657A8">
      <w:pPr>
        <w:pStyle w:val="Paragraphedeliste"/>
      </w:pPr>
    </w:p>
    <w:p w14:paraId="3655D116" w14:textId="517D1A33" w:rsidR="008611AE" w:rsidRPr="008611AE" w:rsidRDefault="008611AE" w:rsidP="007657A8">
      <w:pPr>
        <w:pStyle w:val="Paragraphedeliste"/>
      </w:pPr>
      <w:r w:rsidRPr="008611AE">
        <w:t xml:space="preserve">Concernant la certification, il est entendu que : </w:t>
      </w:r>
    </w:p>
    <w:p w14:paraId="15430CFD" w14:textId="2E302295" w:rsidR="008611AE" w:rsidRPr="008611AE" w:rsidRDefault="008611AE" w:rsidP="007657A8">
      <w:pPr>
        <w:pStyle w:val="Paragraphedeliste"/>
      </w:pPr>
      <w:r w:rsidRPr="008611AE">
        <w:t>Toutes les réductions d’émissions générées par le projet et ses impacts environnementaux et socio-économiques auront fait l’objet de vérifications (s’appuyant sur le suivi d’indicateurs de performance), conformément aux exigences de l’Accord de Paris (son article 6.4 et la procédure déclinée notamment à l’occasion de la décision 3 de la COP de Glasgow) ou, à défaut, des règles de Kyoto ;</w:t>
      </w:r>
    </w:p>
    <w:p w14:paraId="48561123" w14:textId="39D78207" w:rsidR="008611AE" w:rsidRPr="008611AE" w:rsidRDefault="008611AE" w:rsidP="007657A8">
      <w:pPr>
        <w:pStyle w:val="Paragraphedeliste"/>
      </w:pPr>
      <w:r w:rsidRPr="008611AE">
        <w:lastRenderedPageBreak/>
        <w:t>Le titulaire aura arrangé les détails de la vérification et de la certification avec l’entité en charge, en fonction du label ou du certificat choisi ;</w:t>
      </w:r>
    </w:p>
    <w:p w14:paraId="0BD0B89C" w14:textId="4CB4BF9F" w:rsidR="003232F9" w:rsidRDefault="008611AE" w:rsidP="007657A8">
      <w:pPr>
        <w:pStyle w:val="Paragraphedeliste"/>
      </w:pPr>
      <w:r w:rsidRPr="008611AE">
        <w:t>Tous les coûts correspondants de vérification et de certification seront à la charge du titulaire et seront payés directement par ce dernier à l’entité en charge.</w:t>
      </w:r>
    </w:p>
    <w:p w14:paraId="2F14C085" w14:textId="77777777" w:rsidR="000F7562" w:rsidRPr="003C332B" w:rsidRDefault="000F7562" w:rsidP="000F7562">
      <w:pPr>
        <w:pStyle w:val="Paragraphedeliste"/>
        <w:numPr>
          <w:ilvl w:val="0"/>
          <w:numId w:val="0"/>
        </w:numPr>
        <w:ind w:left="1440"/>
      </w:pPr>
    </w:p>
    <w:p w14:paraId="7072FFD7" w14:textId="75F97066" w:rsidR="0068285B" w:rsidRPr="003C332B" w:rsidRDefault="001E13F9" w:rsidP="00803896">
      <w:pPr>
        <w:pStyle w:val="Titre2"/>
      </w:pPr>
      <w:bookmarkStart w:id="76" w:name="_Toc175819363"/>
      <w:bookmarkStart w:id="77" w:name="_Toc175819512"/>
      <w:bookmarkStart w:id="78" w:name="_Toc175835582"/>
      <w:bookmarkStart w:id="79" w:name="_Toc175819364"/>
      <w:bookmarkStart w:id="80" w:name="_Toc175819513"/>
      <w:bookmarkStart w:id="81" w:name="_Toc175835583"/>
      <w:bookmarkStart w:id="82" w:name="_Toc175819365"/>
      <w:bookmarkStart w:id="83" w:name="_Toc175819514"/>
      <w:bookmarkStart w:id="84" w:name="_Toc175835584"/>
      <w:bookmarkStart w:id="85" w:name="_Toc175819366"/>
      <w:bookmarkStart w:id="86" w:name="_Toc175819515"/>
      <w:bookmarkStart w:id="87" w:name="_Toc175835585"/>
      <w:bookmarkStart w:id="88" w:name="_Toc175819367"/>
      <w:bookmarkStart w:id="89" w:name="_Toc175819516"/>
      <w:bookmarkStart w:id="90" w:name="_Toc175835586"/>
      <w:bookmarkStart w:id="91" w:name="_Toc175819368"/>
      <w:bookmarkStart w:id="92" w:name="_Toc175819517"/>
      <w:bookmarkStart w:id="93" w:name="_Toc175835587"/>
      <w:bookmarkStart w:id="94" w:name="_Toc175819369"/>
      <w:bookmarkStart w:id="95" w:name="_Toc175819518"/>
      <w:bookmarkStart w:id="96" w:name="_Toc175835588"/>
      <w:bookmarkStart w:id="97" w:name="_Toc20943049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3C332B">
        <w:t>Exigence particulière de réalisation / Conditions d’exécution</w:t>
      </w:r>
      <w:bookmarkEnd w:id="97"/>
    </w:p>
    <w:p w14:paraId="7B1EA9E7" w14:textId="77777777" w:rsidR="0068285B" w:rsidRPr="00FC10B5" w:rsidRDefault="0068285B" w:rsidP="00803896">
      <w:pPr>
        <w:rPr>
          <w:lang w:eastAsia="en-US"/>
        </w:rPr>
      </w:pPr>
    </w:p>
    <w:p w14:paraId="22E1CECB" w14:textId="77777777" w:rsidR="007657A8" w:rsidRDefault="007657A8" w:rsidP="007657A8">
      <w:r>
        <w:t>Le titulaire accepte de et s’engage à :</w:t>
      </w:r>
    </w:p>
    <w:p w14:paraId="4BC6F43F" w14:textId="77777777" w:rsidR="007657A8" w:rsidRDefault="007657A8" w:rsidP="007657A8"/>
    <w:p w14:paraId="2A94FF10" w14:textId="387E05D1" w:rsidR="007657A8" w:rsidRDefault="007657A8" w:rsidP="007657A8">
      <w:pPr>
        <w:pStyle w:val="Paragraphedeliste"/>
      </w:pPr>
      <w:r>
        <w:t>Garantir que toutes les démarches nécessaires prévues à l’Accord de Paris (notamment son article 6.4), en ce qui a trait à la génération, au suivi, à la vérification et à la certification des réductions d’émissions par le projet, ont été effectuées ;</w:t>
      </w:r>
    </w:p>
    <w:p w14:paraId="3109CB0D" w14:textId="77777777" w:rsidR="007657A8" w:rsidRDefault="007657A8" w:rsidP="007657A8">
      <w:pPr>
        <w:pStyle w:val="Paragraphedeliste"/>
        <w:numPr>
          <w:ilvl w:val="0"/>
          <w:numId w:val="0"/>
        </w:numPr>
        <w:ind w:left="1440"/>
      </w:pPr>
    </w:p>
    <w:p w14:paraId="5FBF7B13" w14:textId="2571DCF3" w:rsidR="007657A8" w:rsidRDefault="007657A8" w:rsidP="007657A8">
      <w:pPr>
        <w:pStyle w:val="Paragraphedeliste"/>
      </w:pPr>
      <w:r>
        <w:t>Coopérer pleinement avec l'AFD et de prendre toutes les mesures jugées raisonnables et appropriées afin d’assurer le transfert de réductions d’émissions à l'AFD en accord avec les termes du présent Marché ;</w:t>
      </w:r>
    </w:p>
    <w:p w14:paraId="4FE1816F" w14:textId="77777777" w:rsidR="007657A8" w:rsidRDefault="007657A8" w:rsidP="007657A8">
      <w:pPr>
        <w:pStyle w:val="Paragraphedeliste"/>
        <w:numPr>
          <w:ilvl w:val="0"/>
          <w:numId w:val="0"/>
        </w:numPr>
        <w:ind w:left="1440"/>
      </w:pPr>
    </w:p>
    <w:p w14:paraId="192F70FE" w14:textId="63BE9924" w:rsidR="007657A8" w:rsidRDefault="007657A8" w:rsidP="007657A8">
      <w:pPr>
        <w:pStyle w:val="Paragraphedeliste"/>
      </w:pPr>
      <w:r>
        <w:t>Satisfaire toutes les obligations en matière de licences, permis, consentements, concessions et autorisations nécessaires dans le cadre du ou des projets ;</w:t>
      </w:r>
    </w:p>
    <w:p w14:paraId="4C0E88CE" w14:textId="77777777" w:rsidR="007657A8" w:rsidRDefault="007657A8" w:rsidP="007657A8">
      <w:pPr>
        <w:pStyle w:val="Paragraphedeliste"/>
        <w:numPr>
          <w:ilvl w:val="0"/>
          <w:numId w:val="0"/>
        </w:numPr>
        <w:ind w:left="1440"/>
      </w:pPr>
    </w:p>
    <w:p w14:paraId="64A31A14" w14:textId="56EA15A9" w:rsidR="007657A8" w:rsidRDefault="007657A8" w:rsidP="007657A8">
      <w:pPr>
        <w:pStyle w:val="Paragraphedeliste"/>
      </w:pPr>
      <w:r>
        <w:t>Avoir mis en œuvre et exécuté le ou les projets avec diligence et efficacité, en appliquant des pratiques financières, administratives, environnementales, sociales et techniques saines et éthiques, tout en agissant dans le respect de la législation du pays hôte, de manière à générer le montant de réductions d’émissions prévu dans le cadre du présent Marché ;</w:t>
      </w:r>
    </w:p>
    <w:p w14:paraId="602C69E6" w14:textId="77777777" w:rsidR="007657A8" w:rsidRDefault="007657A8" w:rsidP="007657A8">
      <w:pPr>
        <w:pStyle w:val="Paragraphedeliste"/>
        <w:numPr>
          <w:ilvl w:val="0"/>
          <w:numId w:val="0"/>
        </w:numPr>
        <w:ind w:left="1440"/>
      </w:pPr>
    </w:p>
    <w:p w14:paraId="22E78754" w14:textId="5D5AE08E" w:rsidR="007657A8" w:rsidRDefault="007657A8" w:rsidP="007657A8">
      <w:pPr>
        <w:pStyle w:val="Paragraphedeliste"/>
      </w:pPr>
      <w:r>
        <w:t>Avoir maintenu les droits légaux d’usage de toutes les terres et des infrastructures nécessaires à la mise en œuvre et l’exécution du ou des projets ;</w:t>
      </w:r>
    </w:p>
    <w:p w14:paraId="273F7523" w14:textId="77777777" w:rsidR="007657A8" w:rsidRDefault="007657A8" w:rsidP="007657A8">
      <w:pPr>
        <w:pStyle w:val="Paragraphedeliste"/>
        <w:numPr>
          <w:ilvl w:val="0"/>
          <w:numId w:val="0"/>
        </w:numPr>
        <w:ind w:left="1440"/>
      </w:pPr>
    </w:p>
    <w:p w14:paraId="487D8E77" w14:textId="0A990A7B" w:rsidR="007657A8" w:rsidRDefault="007657A8" w:rsidP="007657A8">
      <w:pPr>
        <w:pStyle w:val="Paragraphedeliste"/>
      </w:pPr>
      <w:r>
        <w:t>Accorder à tout représentant mandaté par l'AFD, et sans frais supplémentaires, l’accès au site du projet et à lui fournir toute information pertinente dans le cadre du présent Marché ;</w:t>
      </w:r>
    </w:p>
    <w:p w14:paraId="13CF4167" w14:textId="77777777" w:rsidR="007657A8" w:rsidRDefault="007657A8" w:rsidP="007657A8">
      <w:pPr>
        <w:pStyle w:val="Paragraphedeliste"/>
        <w:numPr>
          <w:ilvl w:val="0"/>
          <w:numId w:val="0"/>
        </w:numPr>
        <w:ind w:left="1440"/>
      </w:pPr>
    </w:p>
    <w:p w14:paraId="110CBB8D" w14:textId="0B163C54" w:rsidR="007657A8" w:rsidRDefault="00CD0930" w:rsidP="007657A8">
      <w:pPr>
        <w:pStyle w:val="Paragraphedeliste"/>
      </w:pPr>
      <w:r>
        <w:t>Être</w:t>
      </w:r>
      <w:r w:rsidR="007657A8">
        <w:t xml:space="preserve"> tenu responsable de et indemniser l'AFD pour toute dépense imprévue occasionnée par des tierces parties dans le cadre du ou des projets, y compris et sans limitation le suivi sensu lato du ou des projets, la vérification et la livraison des réductions d’émissions générées par le ou les projets suite à la signature du présent Marché.</w:t>
      </w:r>
    </w:p>
    <w:p w14:paraId="00E4F40D" w14:textId="77777777" w:rsidR="0068285B" w:rsidRPr="00FC10B5" w:rsidRDefault="0068285B" w:rsidP="007657A8">
      <w:pPr>
        <w:pStyle w:val="Paragraphedeliste"/>
        <w:numPr>
          <w:ilvl w:val="0"/>
          <w:numId w:val="0"/>
        </w:numPr>
        <w:ind w:left="1440"/>
      </w:pPr>
    </w:p>
    <w:p w14:paraId="5267F78A" w14:textId="07FA635B" w:rsidR="0068285B" w:rsidRPr="00FC10B5" w:rsidRDefault="0068285B" w:rsidP="00803896">
      <w:pPr>
        <w:pStyle w:val="Titre2"/>
      </w:pPr>
      <w:bookmarkStart w:id="98" w:name="_Toc209430491"/>
      <w:r w:rsidRPr="00FC10B5">
        <w:t>Planning</w:t>
      </w:r>
      <w:r w:rsidR="003232F9" w:rsidRPr="00FC10B5">
        <w:t xml:space="preserve"> d’exécution</w:t>
      </w:r>
      <w:bookmarkEnd w:id="98"/>
    </w:p>
    <w:p w14:paraId="6E271190" w14:textId="77777777" w:rsidR="0068285B" w:rsidRPr="00FC10B5" w:rsidRDefault="0068285B" w:rsidP="0070450A">
      <w:pPr>
        <w:pStyle w:val="Sansinterligne"/>
        <w:rPr>
          <w:rFonts w:ascii="Tw Cen MT" w:hAnsi="Tw Cen MT" w:cstheme="minorHAnsi"/>
        </w:rPr>
      </w:pPr>
    </w:p>
    <w:bookmarkEnd w:id="73"/>
    <w:p w14:paraId="40BD22F9" w14:textId="6D9CDD53" w:rsidR="00837ADE" w:rsidRPr="007836DE" w:rsidRDefault="00837ADE" w:rsidP="00837ADE">
      <w:r w:rsidRPr="007836DE">
        <w:t xml:space="preserve">Le planning prévisionnel est le suivant : </w:t>
      </w:r>
      <w:r>
        <w:t>l</w:t>
      </w:r>
      <w:r w:rsidRPr="007836DE">
        <w:t>ivraison des URVE avant le 3</w:t>
      </w:r>
      <w:r>
        <w:t>1</w:t>
      </w:r>
      <w:r w:rsidRPr="007836DE">
        <w:t>/</w:t>
      </w:r>
      <w:r>
        <w:t>12</w:t>
      </w:r>
      <w:r w:rsidRPr="007836DE">
        <w:t>/202</w:t>
      </w:r>
      <w:r>
        <w:t>5.</w:t>
      </w:r>
    </w:p>
    <w:p w14:paraId="07A8E233" w14:textId="77777777" w:rsidR="00BB118B" w:rsidRPr="00FC10B5" w:rsidRDefault="00BB118B" w:rsidP="00803896"/>
    <w:sectPr w:rsidR="00BB118B" w:rsidRPr="00FC10B5" w:rsidSect="00203F36">
      <w:footerReference w:type="default" r:id="rId20"/>
      <w:pgSz w:w="11900" w:h="16840"/>
      <w:pgMar w:top="929" w:right="1120"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86E79" w14:textId="77777777" w:rsidR="00922ECD" w:rsidRDefault="00922ECD" w:rsidP="00803896">
      <w:r>
        <w:separator/>
      </w:r>
    </w:p>
  </w:endnote>
  <w:endnote w:type="continuationSeparator" w:id="0">
    <w:p w14:paraId="25F6006A" w14:textId="77777777" w:rsidR="00922ECD" w:rsidRDefault="00922ECD" w:rsidP="0080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A6C9" w14:textId="77777777" w:rsidR="003C332B" w:rsidRDefault="003C332B" w:rsidP="00803896">
    <w:pPr>
      <w:pStyle w:val="Pieddepage"/>
      <w:rPr>
        <w:rFonts w:eastAsia="Calibri"/>
        <w:lang w:eastAsia="en-US"/>
      </w:rPr>
    </w:pPr>
  </w:p>
  <w:p w14:paraId="20FF8478" w14:textId="2B66A7AC" w:rsidR="003C332B" w:rsidRDefault="003C332B" w:rsidP="00803896">
    <w:pPr>
      <w:pStyle w:val="Pieddepage"/>
      <w:rPr>
        <w:rFonts w:eastAsia="Calibri"/>
        <w:lang w:eastAsia="en-US"/>
      </w:rPr>
    </w:pPr>
    <w:proofErr w:type="spellStart"/>
    <w:r>
      <w:rPr>
        <w:rFonts w:eastAsia="Calibri"/>
        <w:lang w:eastAsia="en-US"/>
      </w:rPr>
      <w:t>TdR_marché</w:t>
    </w:r>
    <w:proofErr w:type="spellEnd"/>
    <w:r>
      <w:rPr>
        <w:rFonts w:eastAsia="Calibri"/>
        <w:lang w:eastAsia="en-US"/>
      </w:rPr>
      <w:t xml:space="preserve"> n°</w:t>
    </w:r>
    <w:r w:rsidR="00673502">
      <w:rPr>
        <w:rFonts w:eastAsia="Calibri"/>
        <w:lang w:eastAsia="en-US"/>
      </w:rPr>
      <w:t>SGN-2025-0377</w:t>
    </w:r>
    <w:r w:rsidRPr="00B8096A">
      <w:rPr>
        <w:rFonts w:eastAsia="Calibri"/>
        <w:lang w:eastAsia="en-US"/>
      </w:rPr>
      <w:t xml:space="preserve"> </w:t>
    </w:r>
  </w:p>
  <w:p w14:paraId="73174B6D" w14:textId="32961AF1" w:rsidR="003C332B" w:rsidRPr="008F3D8B" w:rsidRDefault="009B2817" w:rsidP="00803896">
    <w:pPr>
      <w:pStyle w:val="Pieddepage"/>
    </w:pPr>
    <w:r>
      <w:rPr>
        <w:rFonts w:eastAsia="Calibri"/>
        <w:sz w:val="16"/>
        <w:szCs w:val="22"/>
        <w:lang w:eastAsia="en-US"/>
      </w:rPr>
      <w:t>AFD-M0206 v3 du 18/10</w:t>
    </w:r>
    <w:r w:rsidR="003C332B">
      <w:rPr>
        <w:rFonts w:eastAsia="Calibri"/>
        <w:sz w:val="16"/>
        <w:szCs w:val="22"/>
        <w:lang w:eastAsia="en-US"/>
      </w:rPr>
      <w:t>/2024</w:t>
    </w:r>
    <w:r w:rsidR="003C332B" w:rsidRPr="00B8096A">
      <w:rPr>
        <w:rFonts w:eastAsia="Calibri"/>
        <w:sz w:val="16"/>
        <w:szCs w:val="22"/>
        <w:lang w:eastAsia="en-US"/>
      </w:rPr>
      <w:tab/>
      <w:t xml:space="preserve">     </w:t>
    </w:r>
    <w:r w:rsidR="003C332B" w:rsidRPr="00B8096A">
      <w:rPr>
        <w:rFonts w:eastAsia="Calibri"/>
        <w:sz w:val="16"/>
        <w:szCs w:val="22"/>
        <w:lang w:eastAsia="en-US"/>
      </w:rPr>
      <w:tab/>
    </w:r>
    <w:r w:rsidR="003C332B" w:rsidRPr="00B8096A">
      <w:rPr>
        <w:rFonts w:eastAsiaTheme="majorEastAsia"/>
      </w:rPr>
      <w:t xml:space="preserve">Page </w:t>
    </w:r>
    <w:r w:rsidR="003C332B" w:rsidRPr="00B8096A">
      <w:rPr>
        <w:rFonts w:eastAsiaTheme="majorEastAsia"/>
      </w:rPr>
      <w:fldChar w:fldCharType="begin"/>
    </w:r>
    <w:r w:rsidR="003C332B" w:rsidRPr="00B8096A">
      <w:rPr>
        <w:rFonts w:eastAsiaTheme="majorEastAsia"/>
      </w:rPr>
      <w:instrText>PAGE  \* Arabic  \* MERGEFORMAT</w:instrText>
    </w:r>
    <w:r w:rsidR="003C332B" w:rsidRPr="00B8096A">
      <w:rPr>
        <w:rFonts w:eastAsiaTheme="majorEastAsia"/>
      </w:rPr>
      <w:fldChar w:fldCharType="separate"/>
    </w:r>
    <w:r>
      <w:rPr>
        <w:rFonts w:eastAsiaTheme="majorEastAsia"/>
        <w:noProof/>
      </w:rPr>
      <w:t>2</w:t>
    </w:r>
    <w:r w:rsidR="003C332B" w:rsidRPr="00B8096A">
      <w:rPr>
        <w:rFonts w:eastAsiaTheme="majorEastAsia"/>
      </w:rPr>
      <w:fldChar w:fldCharType="end"/>
    </w:r>
    <w:r w:rsidR="003C332B" w:rsidRPr="00B8096A">
      <w:rPr>
        <w:rFonts w:eastAsiaTheme="majorEastAsia"/>
      </w:rPr>
      <w:t xml:space="preserve"> sur </w:t>
    </w:r>
    <w:r w:rsidR="003C332B" w:rsidRPr="00B8096A">
      <w:rPr>
        <w:rFonts w:eastAsiaTheme="majorEastAsia"/>
      </w:rPr>
      <w:fldChar w:fldCharType="begin"/>
    </w:r>
    <w:r w:rsidR="003C332B" w:rsidRPr="00B8096A">
      <w:rPr>
        <w:rFonts w:eastAsiaTheme="majorEastAsia"/>
      </w:rPr>
      <w:instrText>NUMPAGES  \* Arabic  \* MERGEFORMAT</w:instrText>
    </w:r>
    <w:r w:rsidR="003C332B" w:rsidRPr="00B8096A">
      <w:rPr>
        <w:rFonts w:eastAsiaTheme="majorEastAsia"/>
      </w:rPr>
      <w:fldChar w:fldCharType="separate"/>
    </w:r>
    <w:r>
      <w:rPr>
        <w:rFonts w:eastAsiaTheme="majorEastAsia"/>
        <w:noProof/>
      </w:rPr>
      <w:t>7</w:t>
    </w:r>
    <w:r w:rsidR="003C332B" w:rsidRPr="00B8096A">
      <w:rP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95CDC" w14:textId="77777777" w:rsidR="00922ECD" w:rsidRDefault="00922ECD" w:rsidP="00803896">
      <w:r>
        <w:separator/>
      </w:r>
    </w:p>
  </w:footnote>
  <w:footnote w:type="continuationSeparator" w:id="0">
    <w:p w14:paraId="029D59DA" w14:textId="77777777" w:rsidR="00922ECD" w:rsidRDefault="00922ECD" w:rsidP="0080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F2352"/>
    <w:multiLevelType w:val="hybridMultilevel"/>
    <w:tmpl w:val="01ECF75C"/>
    <w:lvl w:ilvl="0" w:tplc="040C0003">
      <w:start w:val="1"/>
      <w:numFmt w:val="bullet"/>
      <w:lvlText w:val="o"/>
      <w:lvlJc w:val="left"/>
      <w:pPr>
        <w:tabs>
          <w:tab w:val="num" w:pos="1068"/>
        </w:tabs>
        <w:ind w:left="1068" w:hanging="360"/>
      </w:pPr>
      <w:rPr>
        <w:rFonts w:ascii="Courier New" w:hAnsi="Courier New" w:cs="Courier New"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cs="Wingdings" w:hint="default"/>
      </w:rPr>
    </w:lvl>
    <w:lvl w:ilvl="3" w:tplc="040C0001">
      <w:start w:val="1"/>
      <w:numFmt w:val="bullet"/>
      <w:lvlText w:val=""/>
      <w:lvlJc w:val="left"/>
      <w:pPr>
        <w:tabs>
          <w:tab w:val="num" w:pos="3228"/>
        </w:tabs>
        <w:ind w:left="3228" w:hanging="360"/>
      </w:pPr>
      <w:rPr>
        <w:rFonts w:ascii="Symbol" w:hAnsi="Symbol" w:cs="Symbol" w:hint="default"/>
      </w:rPr>
    </w:lvl>
    <w:lvl w:ilvl="4" w:tplc="040C0003">
      <w:start w:val="1"/>
      <w:numFmt w:val="bullet"/>
      <w:lvlText w:val="o"/>
      <w:lvlJc w:val="left"/>
      <w:pPr>
        <w:tabs>
          <w:tab w:val="num" w:pos="3948"/>
        </w:tabs>
        <w:ind w:left="3948" w:hanging="360"/>
      </w:pPr>
      <w:rPr>
        <w:rFonts w:ascii="Courier New" w:hAnsi="Courier New" w:cs="Courier New" w:hint="default"/>
      </w:rPr>
    </w:lvl>
    <w:lvl w:ilvl="5" w:tplc="040C0005">
      <w:start w:val="1"/>
      <w:numFmt w:val="bullet"/>
      <w:lvlText w:val=""/>
      <w:lvlJc w:val="left"/>
      <w:pPr>
        <w:tabs>
          <w:tab w:val="num" w:pos="4668"/>
        </w:tabs>
        <w:ind w:left="4668" w:hanging="360"/>
      </w:pPr>
      <w:rPr>
        <w:rFonts w:ascii="Wingdings" w:hAnsi="Wingdings" w:cs="Wingdings" w:hint="default"/>
      </w:rPr>
    </w:lvl>
    <w:lvl w:ilvl="6" w:tplc="040C0001">
      <w:start w:val="1"/>
      <w:numFmt w:val="bullet"/>
      <w:lvlText w:val=""/>
      <w:lvlJc w:val="left"/>
      <w:pPr>
        <w:tabs>
          <w:tab w:val="num" w:pos="5388"/>
        </w:tabs>
        <w:ind w:left="5388" w:hanging="360"/>
      </w:pPr>
      <w:rPr>
        <w:rFonts w:ascii="Symbol" w:hAnsi="Symbol" w:cs="Symbol" w:hint="default"/>
      </w:rPr>
    </w:lvl>
    <w:lvl w:ilvl="7" w:tplc="040C0003">
      <w:start w:val="1"/>
      <w:numFmt w:val="bullet"/>
      <w:lvlText w:val="o"/>
      <w:lvlJc w:val="left"/>
      <w:pPr>
        <w:tabs>
          <w:tab w:val="num" w:pos="6108"/>
        </w:tabs>
        <w:ind w:left="6108" w:hanging="360"/>
      </w:pPr>
      <w:rPr>
        <w:rFonts w:ascii="Courier New" w:hAnsi="Courier New" w:cs="Courier New" w:hint="default"/>
      </w:rPr>
    </w:lvl>
    <w:lvl w:ilvl="8" w:tplc="040C0005">
      <w:start w:val="1"/>
      <w:numFmt w:val="bullet"/>
      <w:lvlText w:val=""/>
      <w:lvlJc w:val="left"/>
      <w:pPr>
        <w:tabs>
          <w:tab w:val="num" w:pos="6828"/>
        </w:tabs>
        <w:ind w:left="6828" w:hanging="360"/>
      </w:pPr>
      <w:rPr>
        <w:rFonts w:ascii="Wingdings" w:hAnsi="Wingdings" w:cs="Wingdings" w:hint="default"/>
      </w:rPr>
    </w:lvl>
  </w:abstractNum>
  <w:abstractNum w:abstractNumId="1" w15:restartNumberingAfterBreak="0">
    <w:nsid w:val="14EC4318"/>
    <w:multiLevelType w:val="hybridMultilevel"/>
    <w:tmpl w:val="B7060AD2"/>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9D7CC4"/>
    <w:multiLevelType w:val="hybridMultilevel"/>
    <w:tmpl w:val="6FD847CC"/>
    <w:lvl w:ilvl="0" w:tplc="040C0001">
      <w:start w:val="1"/>
      <w:numFmt w:val="bullet"/>
      <w:lvlText w:val=""/>
      <w:lvlJc w:val="left"/>
      <w:pPr>
        <w:tabs>
          <w:tab w:val="num" w:pos="1068"/>
        </w:tabs>
        <w:ind w:left="1068" w:hanging="360"/>
      </w:pPr>
      <w:rPr>
        <w:rFonts w:ascii="Symbol" w:hAnsi="Symbol" w:cs="Symbol" w:hint="default"/>
      </w:rPr>
    </w:lvl>
    <w:lvl w:ilvl="1" w:tplc="040C0019">
      <w:start w:val="1"/>
      <w:numFmt w:val="lowerLetter"/>
      <w:lvlText w:val="%2."/>
      <w:lvlJc w:val="left"/>
      <w:pPr>
        <w:tabs>
          <w:tab w:val="num" w:pos="1788"/>
        </w:tabs>
        <w:ind w:left="1788" w:hanging="360"/>
      </w:pPr>
    </w:lvl>
    <w:lvl w:ilvl="2" w:tplc="040C001B">
      <w:start w:val="1"/>
      <w:numFmt w:val="lowerRoman"/>
      <w:lvlText w:val="%3."/>
      <w:lvlJc w:val="right"/>
      <w:pPr>
        <w:tabs>
          <w:tab w:val="num" w:pos="2508"/>
        </w:tabs>
        <w:ind w:left="2508" w:hanging="180"/>
      </w:pPr>
    </w:lvl>
    <w:lvl w:ilvl="3" w:tplc="040C000F">
      <w:start w:val="1"/>
      <w:numFmt w:val="decimal"/>
      <w:lvlText w:val="%4."/>
      <w:lvlJc w:val="left"/>
      <w:pPr>
        <w:tabs>
          <w:tab w:val="num" w:pos="3228"/>
        </w:tabs>
        <w:ind w:left="3228" w:hanging="360"/>
      </w:pPr>
    </w:lvl>
    <w:lvl w:ilvl="4" w:tplc="040C0019">
      <w:start w:val="1"/>
      <w:numFmt w:val="lowerLetter"/>
      <w:lvlText w:val="%5."/>
      <w:lvlJc w:val="left"/>
      <w:pPr>
        <w:tabs>
          <w:tab w:val="num" w:pos="3948"/>
        </w:tabs>
        <w:ind w:left="3948" w:hanging="360"/>
      </w:pPr>
    </w:lvl>
    <w:lvl w:ilvl="5" w:tplc="040C001B">
      <w:start w:val="1"/>
      <w:numFmt w:val="lowerRoman"/>
      <w:lvlText w:val="%6."/>
      <w:lvlJc w:val="right"/>
      <w:pPr>
        <w:tabs>
          <w:tab w:val="num" w:pos="4668"/>
        </w:tabs>
        <w:ind w:left="4668" w:hanging="180"/>
      </w:pPr>
    </w:lvl>
    <w:lvl w:ilvl="6" w:tplc="040C000F">
      <w:start w:val="1"/>
      <w:numFmt w:val="decimal"/>
      <w:lvlText w:val="%7."/>
      <w:lvlJc w:val="left"/>
      <w:pPr>
        <w:tabs>
          <w:tab w:val="num" w:pos="5388"/>
        </w:tabs>
        <w:ind w:left="5388" w:hanging="360"/>
      </w:pPr>
    </w:lvl>
    <w:lvl w:ilvl="7" w:tplc="040C0019">
      <w:start w:val="1"/>
      <w:numFmt w:val="lowerLetter"/>
      <w:lvlText w:val="%8."/>
      <w:lvlJc w:val="left"/>
      <w:pPr>
        <w:tabs>
          <w:tab w:val="num" w:pos="6108"/>
        </w:tabs>
        <w:ind w:left="6108" w:hanging="360"/>
      </w:pPr>
    </w:lvl>
    <w:lvl w:ilvl="8" w:tplc="040C001B">
      <w:start w:val="1"/>
      <w:numFmt w:val="lowerRoman"/>
      <w:lvlText w:val="%9."/>
      <w:lvlJc w:val="right"/>
      <w:pPr>
        <w:tabs>
          <w:tab w:val="num" w:pos="6828"/>
        </w:tabs>
        <w:ind w:left="6828" w:hanging="180"/>
      </w:pPr>
    </w:lvl>
  </w:abstractNum>
  <w:abstractNum w:abstractNumId="3" w15:restartNumberingAfterBreak="0">
    <w:nsid w:val="2AAF2559"/>
    <w:multiLevelType w:val="hybridMultilevel"/>
    <w:tmpl w:val="FA2E4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AC30F4"/>
    <w:multiLevelType w:val="hybridMultilevel"/>
    <w:tmpl w:val="72103ACA"/>
    <w:lvl w:ilvl="0" w:tplc="040C0003">
      <w:start w:val="1"/>
      <w:numFmt w:val="bullet"/>
      <w:lvlText w:val="o"/>
      <w:lvlJc w:val="left"/>
      <w:pPr>
        <w:tabs>
          <w:tab w:val="num" w:pos="1068"/>
        </w:tabs>
        <w:ind w:left="1068" w:hanging="360"/>
      </w:pPr>
      <w:rPr>
        <w:rFonts w:ascii="Courier New" w:hAnsi="Courier New" w:cs="Courier New" w:hint="default"/>
      </w:rPr>
    </w:lvl>
    <w:lvl w:ilvl="1" w:tplc="040C0019">
      <w:start w:val="1"/>
      <w:numFmt w:val="lowerLetter"/>
      <w:lvlText w:val="%2."/>
      <w:lvlJc w:val="left"/>
      <w:pPr>
        <w:tabs>
          <w:tab w:val="num" w:pos="1788"/>
        </w:tabs>
        <w:ind w:left="1788" w:hanging="360"/>
      </w:pPr>
    </w:lvl>
    <w:lvl w:ilvl="2" w:tplc="040C001B">
      <w:start w:val="1"/>
      <w:numFmt w:val="lowerRoman"/>
      <w:lvlText w:val="%3."/>
      <w:lvlJc w:val="right"/>
      <w:pPr>
        <w:tabs>
          <w:tab w:val="num" w:pos="2508"/>
        </w:tabs>
        <w:ind w:left="2508" w:hanging="180"/>
      </w:pPr>
    </w:lvl>
    <w:lvl w:ilvl="3" w:tplc="040C000F">
      <w:start w:val="1"/>
      <w:numFmt w:val="decimal"/>
      <w:lvlText w:val="%4."/>
      <w:lvlJc w:val="left"/>
      <w:pPr>
        <w:tabs>
          <w:tab w:val="num" w:pos="3228"/>
        </w:tabs>
        <w:ind w:left="3228" w:hanging="360"/>
      </w:pPr>
    </w:lvl>
    <w:lvl w:ilvl="4" w:tplc="040C0019">
      <w:start w:val="1"/>
      <w:numFmt w:val="lowerLetter"/>
      <w:lvlText w:val="%5."/>
      <w:lvlJc w:val="left"/>
      <w:pPr>
        <w:tabs>
          <w:tab w:val="num" w:pos="3948"/>
        </w:tabs>
        <w:ind w:left="3948" w:hanging="360"/>
      </w:pPr>
    </w:lvl>
    <w:lvl w:ilvl="5" w:tplc="040C001B">
      <w:start w:val="1"/>
      <w:numFmt w:val="lowerRoman"/>
      <w:lvlText w:val="%6."/>
      <w:lvlJc w:val="right"/>
      <w:pPr>
        <w:tabs>
          <w:tab w:val="num" w:pos="4668"/>
        </w:tabs>
        <w:ind w:left="4668" w:hanging="180"/>
      </w:pPr>
    </w:lvl>
    <w:lvl w:ilvl="6" w:tplc="040C000F">
      <w:start w:val="1"/>
      <w:numFmt w:val="decimal"/>
      <w:lvlText w:val="%7."/>
      <w:lvlJc w:val="left"/>
      <w:pPr>
        <w:tabs>
          <w:tab w:val="num" w:pos="5388"/>
        </w:tabs>
        <w:ind w:left="5388" w:hanging="360"/>
      </w:pPr>
    </w:lvl>
    <w:lvl w:ilvl="7" w:tplc="040C0019">
      <w:start w:val="1"/>
      <w:numFmt w:val="lowerLetter"/>
      <w:lvlText w:val="%8."/>
      <w:lvlJc w:val="left"/>
      <w:pPr>
        <w:tabs>
          <w:tab w:val="num" w:pos="6108"/>
        </w:tabs>
        <w:ind w:left="6108" w:hanging="360"/>
      </w:pPr>
    </w:lvl>
    <w:lvl w:ilvl="8" w:tplc="040C001B">
      <w:start w:val="1"/>
      <w:numFmt w:val="lowerRoman"/>
      <w:lvlText w:val="%9."/>
      <w:lvlJc w:val="right"/>
      <w:pPr>
        <w:tabs>
          <w:tab w:val="num" w:pos="6828"/>
        </w:tabs>
        <w:ind w:left="6828" w:hanging="180"/>
      </w:pPr>
    </w:lvl>
  </w:abstractNum>
  <w:abstractNum w:abstractNumId="5" w15:restartNumberingAfterBreak="0">
    <w:nsid w:val="3FC52AE3"/>
    <w:multiLevelType w:val="multilevel"/>
    <w:tmpl w:val="B6240890"/>
    <w:lvl w:ilvl="0">
      <w:start w:val="1"/>
      <w:numFmt w:val="decimal"/>
      <w:pStyle w:val="Titre1"/>
      <w:lvlText w:val="ARTICLE %1."/>
      <w:lvlJc w:val="left"/>
      <w:pPr>
        <w:ind w:left="720" w:hanging="360"/>
      </w:pPr>
      <w:rPr>
        <w:rFonts w:ascii="Tw Cen MT" w:hAnsi="Tw Cen MT"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isLgl/>
      <w:lvlText w:val="%1.%2"/>
      <w:lvlJc w:val="left"/>
      <w:pPr>
        <w:tabs>
          <w:tab w:val="num" w:pos="928"/>
        </w:tabs>
        <w:ind w:left="928" w:hanging="360"/>
      </w:pPr>
      <w:rPr>
        <w:rFonts w:cs="Times New Roman" w:hint="default"/>
      </w:rPr>
    </w:lvl>
    <w:lvl w:ilvl="2">
      <w:start w:val="1"/>
      <w:numFmt w:val="none"/>
      <w:pStyle w:val="Titre3"/>
      <w:isLgl/>
      <w:lvlText w:val=""/>
      <w:lvlJc w:val="left"/>
      <w:pPr>
        <w:tabs>
          <w:tab w:val="num" w:pos="1496"/>
        </w:tabs>
        <w:ind w:left="1496" w:hanging="720"/>
      </w:pPr>
      <w:rPr>
        <w:rFonts w:cs="Times New Roman" w:hint="default"/>
      </w:rPr>
    </w:lvl>
    <w:lvl w:ilvl="3">
      <w:start w:val="1"/>
      <w:numFmt w:val="decimal"/>
      <w:isLgl/>
      <w:lvlText w:val="%1.%2.%3.%4"/>
      <w:lvlJc w:val="left"/>
      <w:pPr>
        <w:tabs>
          <w:tab w:val="num" w:pos="1704"/>
        </w:tabs>
        <w:ind w:left="1704" w:hanging="720"/>
      </w:pPr>
      <w:rPr>
        <w:rFonts w:cs="Times New Roman" w:hint="default"/>
      </w:rPr>
    </w:lvl>
    <w:lvl w:ilvl="4">
      <w:start w:val="1"/>
      <w:numFmt w:val="decimal"/>
      <w:isLgl/>
      <w:lvlText w:val="%1.%2.%3.%4.%5"/>
      <w:lvlJc w:val="left"/>
      <w:pPr>
        <w:tabs>
          <w:tab w:val="num" w:pos="2272"/>
        </w:tabs>
        <w:ind w:left="2272" w:hanging="1080"/>
      </w:pPr>
      <w:rPr>
        <w:rFonts w:cs="Times New Roman" w:hint="default"/>
      </w:rPr>
    </w:lvl>
    <w:lvl w:ilvl="5">
      <w:start w:val="1"/>
      <w:numFmt w:val="decimal"/>
      <w:isLgl/>
      <w:lvlText w:val="%1.%2.%3.%4.%5.%6"/>
      <w:lvlJc w:val="left"/>
      <w:pPr>
        <w:tabs>
          <w:tab w:val="num" w:pos="2480"/>
        </w:tabs>
        <w:ind w:left="2480" w:hanging="1080"/>
      </w:pPr>
      <w:rPr>
        <w:rFonts w:cs="Times New Roman" w:hint="default"/>
      </w:rPr>
    </w:lvl>
    <w:lvl w:ilvl="6">
      <w:start w:val="1"/>
      <w:numFmt w:val="decimal"/>
      <w:isLgl/>
      <w:lvlText w:val="%1.%2.%3.%4.%5.%6.%7"/>
      <w:lvlJc w:val="left"/>
      <w:pPr>
        <w:tabs>
          <w:tab w:val="num" w:pos="3048"/>
        </w:tabs>
        <w:ind w:left="3048" w:hanging="1440"/>
      </w:pPr>
      <w:rPr>
        <w:rFonts w:cs="Times New Roman" w:hint="default"/>
      </w:rPr>
    </w:lvl>
    <w:lvl w:ilvl="7">
      <w:start w:val="1"/>
      <w:numFmt w:val="decimal"/>
      <w:isLgl/>
      <w:lvlText w:val="%1.%2.%3.%4.%5.%6.%7.%8"/>
      <w:lvlJc w:val="left"/>
      <w:pPr>
        <w:tabs>
          <w:tab w:val="num" w:pos="3256"/>
        </w:tabs>
        <w:ind w:left="3256" w:hanging="1440"/>
      </w:pPr>
      <w:rPr>
        <w:rFonts w:cs="Times New Roman" w:hint="default"/>
      </w:rPr>
    </w:lvl>
    <w:lvl w:ilvl="8">
      <w:start w:val="1"/>
      <w:numFmt w:val="decimal"/>
      <w:isLgl/>
      <w:lvlText w:val="%1.%2.%3.%4.%5.%6.%7.%8.%9"/>
      <w:lvlJc w:val="left"/>
      <w:pPr>
        <w:tabs>
          <w:tab w:val="num" w:pos="3824"/>
        </w:tabs>
        <w:ind w:left="3824" w:hanging="1800"/>
      </w:pPr>
      <w:rPr>
        <w:rFonts w:cs="Times New Roman" w:hint="default"/>
      </w:rPr>
    </w:lvl>
  </w:abstractNum>
  <w:abstractNum w:abstractNumId="6" w15:restartNumberingAfterBreak="0">
    <w:nsid w:val="46A31196"/>
    <w:multiLevelType w:val="hybridMultilevel"/>
    <w:tmpl w:val="A7FE58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47B81A78"/>
    <w:multiLevelType w:val="hybridMultilevel"/>
    <w:tmpl w:val="DA545BF4"/>
    <w:lvl w:ilvl="0" w:tplc="F248583C">
      <w:start w:val="1"/>
      <w:numFmt w:val="bullet"/>
      <w:pStyle w:val="Paragraphedeliste"/>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842603C"/>
    <w:multiLevelType w:val="hybridMultilevel"/>
    <w:tmpl w:val="C4103F7A"/>
    <w:lvl w:ilvl="0" w:tplc="69681BD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numFmt w:val="bullet"/>
      <w:lvlText w:val="•"/>
      <w:lvlJc w:val="left"/>
      <w:pPr>
        <w:ind w:left="2160" w:hanging="360"/>
      </w:pPr>
      <w:rPr>
        <w:rFonts w:ascii="Arial" w:eastAsia="Times New Roman"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9C2DE0"/>
    <w:multiLevelType w:val="hybridMultilevel"/>
    <w:tmpl w:val="5AD29C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9B21E5"/>
    <w:multiLevelType w:val="hybridMultilevel"/>
    <w:tmpl w:val="065A22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3D03E0"/>
    <w:multiLevelType w:val="hybridMultilevel"/>
    <w:tmpl w:val="99A6F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3D2449"/>
    <w:multiLevelType w:val="multilevel"/>
    <w:tmpl w:val="807CA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ECB56C0"/>
    <w:multiLevelType w:val="hybridMultilevel"/>
    <w:tmpl w:val="92846F10"/>
    <w:lvl w:ilvl="0" w:tplc="040C0001">
      <w:start w:val="1"/>
      <w:numFmt w:val="bullet"/>
      <w:lvlText w:val=""/>
      <w:lvlJc w:val="left"/>
      <w:pPr>
        <w:ind w:left="720" w:hanging="360"/>
      </w:pPr>
      <w:rPr>
        <w:rFonts w:ascii="Symbol" w:hAnsi="Symbol" w:hint="default"/>
      </w:rPr>
    </w:lvl>
    <w:lvl w:ilvl="1" w:tplc="53A2BEB6">
      <w:numFmt w:val="bullet"/>
      <w:lvlText w:val="-"/>
      <w:lvlJc w:val="left"/>
      <w:pPr>
        <w:ind w:left="1800" w:hanging="720"/>
      </w:pPr>
      <w:rPr>
        <w:rFonts w:ascii="Tw Cen MT" w:eastAsia="Times New Roman" w:hAnsi="Tw Cen MT"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F24267"/>
    <w:multiLevelType w:val="hybridMultilevel"/>
    <w:tmpl w:val="63EA76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60544539"/>
    <w:multiLevelType w:val="hybridMultilevel"/>
    <w:tmpl w:val="B3E62ED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750421A"/>
    <w:multiLevelType w:val="hybridMultilevel"/>
    <w:tmpl w:val="46A47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4F6EF3"/>
    <w:multiLevelType w:val="hybridMultilevel"/>
    <w:tmpl w:val="6F06C12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78E12F82"/>
    <w:multiLevelType w:val="hybridMultilevel"/>
    <w:tmpl w:val="8ECE0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CD50AC"/>
    <w:multiLevelType w:val="hybridMultilevel"/>
    <w:tmpl w:val="2CF05A7C"/>
    <w:lvl w:ilvl="0" w:tplc="ABC2DC32">
      <w:numFmt w:val="bullet"/>
      <w:lvlText w:val="-"/>
      <w:lvlJc w:val="left"/>
      <w:pPr>
        <w:ind w:left="720" w:hanging="360"/>
      </w:pPr>
      <w:rPr>
        <w:rFonts w:ascii="Tw Cen MT" w:eastAsia="Times New Roman" w:hAnsi="Tw Cen MT"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0737214">
    <w:abstractNumId w:val="8"/>
  </w:num>
  <w:num w:numId="2" w16cid:durableId="256062888">
    <w:abstractNumId w:val="5"/>
  </w:num>
  <w:num w:numId="3" w16cid:durableId="680476911">
    <w:abstractNumId w:val="9"/>
  </w:num>
  <w:num w:numId="4" w16cid:durableId="1040125566">
    <w:abstractNumId w:val="10"/>
  </w:num>
  <w:num w:numId="5" w16cid:durableId="313609724">
    <w:abstractNumId w:val="14"/>
  </w:num>
  <w:num w:numId="6" w16cid:durableId="2118676143">
    <w:abstractNumId w:val="1"/>
  </w:num>
  <w:num w:numId="7" w16cid:durableId="1521428138">
    <w:abstractNumId w:val="0"/>
  </w:num>
  <w:num w:numId="8" w16cid:durableId="1442263652">
    <w:abstractNumId w:val="4"/>
  </w:num>
  <w:num w:numId="9" w16cid:durableId="377436737">
    <w:abstractNumId w:val="2"/>
  </w:num>
  <w:num w:numId="10" w16cid:durableId="190729913">
    <w:abstractNumId w:val="19"/>
  </w:num>
  <w:num w:numId="11" w16cid:durableId="1537229990">
    <w:abstractNumId w:val="3"/>
  </w:num>
  <w:num w:numId="12" w16cid:durableId="1491600307">
    <w:abstractNumId w:val="12"/>
  </w:num>
  <w:num w:numId="13" w16cid:durableId="18949998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35975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84145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70554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34667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62639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33283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1359986">
    <w:abstractNumId w:val="15"/>
  </w:num>
  <w:num w:numId="21" w16cid:durableId="1602177248">
    <w:abstractNumId w:val="17"/>
  </w:num>
  <w:num w:numId="22" w16cid:durableId="1184902965">
    <w:abstractNumId w:val="7"/>
  </w:num>
  <w:num w:numId="23" w16cid:durableId="1194610829">
    <w:abstractNumId w:val="16"/>
  </w:num>
  <w:num w:numId="24" w16cid:durableId="110711619">
    <w:abstractNumId w:val="18"/>
  </w:num>
  <w:num w:numId="25" w16cid:durableId="8803802">
    <w:abstractNumId w:val="6"/>
  </w:num>
  <w:num w:numId="26" w16cid:durableId="1146779931">
    <w:abstractNumId w:val="13"/>
  </w:num>
  <w:num w:numId="27" w16cid:durableId="156933803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3AC"/>
    <w:rsid w:val="00003A01"/>
    <w:rsid w:val="00045642"/>
    <w:rsid w:val="0006125C"/>
    <w:rsid w:val="00062C3C"/>
    <w:rsid w:val="00090A14"/>
    <w:rsid w:val="00090D84"/>
    <w:rsid w:val="000A0CBD"/>
    <w:rsid w:val="000A4EE1"/>
    <w:rsid w:val="000D18C5"/>
    <w:rsid w:val="000F7562"/>
    <w:rsid w:val="0011075B"/>
    <w:rsid w:val="001118B1"/>
    <w:rsid w:val="00114DA1"/>
    <w:rsid w:val="00121A3A"/>
    <w:rsid w:val="00123FFD"/>
    <w:rsid w:val="0017366E"/>
    <w:rsid w:val="001959E6"/>
    <w:rsid w:val="001B3FFF"/>
    <w:rsid w:val="001B6E02"/>
    <w:rsid w:val="001D63AC"/>
    <w:rsid w:val="001E13F9"/>
    <w:rsid w:val="001E3D75"/>
    <w:rsid w:val="001F3EBB"/>
    <w:rsid w:val="00203F36"/>
    <w:rsid w:val="002059F2"/>
    <w:rsid w:val="0023517B"/>
    <w:rsid w:val="00257D5F"/>
    <w:rsid w:val="002A0BA5"/>
    <w:rsid w:val="002B1605"/>
    <w:rsid w:val="002B6E30"/>
    <w:rsid w:val="002B7927"/>
    <w:rsid w:val="002D51F3"/>
    <w:rsid w:val="002E1DA5"/>
    <w:rsid w:val="002E29BF"/>
    <w:rsid w:val="002E3244"/>
    <w:rsid w:val="002E51D0"/>
    <w:rsid w:val="002F1E2C"/>
    <w:rsid w:val="002F4711"/>
    <w:rsid w:val="002F54BA"/>
    <w:rsid w:val="002F5F93"/>
    <w:rsid w:val="00306269"/>
    <w:rsid w:val="0030746C"/>
    <w:rsid w:val="00310CAB"/>
    <w:rsid w:val="0031483C"/>
    <w:rsid w:val="0032129E"/>
    <w:rsid w:val="003232F9"/>
    <w:rsid w:val="00331D8B"/>
    <w:rsid w:val="00342AE8"/>
    <w:rsid w:val="00347708"/>
    <w:rsid w:val="003910B7"/>
    <w:rsid w:val="003B4382"/>
    <w:rsid w:val="003B7272"/>
    <w:rsid w:val="003C332B"/>
    <w:rsid w:val="003D2A94"/>
    <w:rsid w:val="003D3AB1"/>
    <w:rsid w:val="003E0516"/>
    <w:rsid w:val="003E57FF"/>
    <w:rsid w:val="00477779"/>
    <w:rsid w:val="004823A5"/>
    <w:rsid w:val="00483791"/>
    <w:rsid w:val="00483FA6"/>
    <w:rsid w:val="00497C77"/>
    <w:rsid w:val="004A383B"/>
    <w:rsid w:val="004B357C"/>
    <w:rsid w:val="004C35C8"/>
    <w:rsid w:val="004C6078"/>
    <w:rsid w:val="004D201D"/>
    <w:rsid w:val="004D2298"/>
    <w:rsid w:val="004E3401"/>
    <w:rsid w:val="004F64A0"/>
    <w:rsid w:val="00546411"/>
    <w:rsid w:val="00554347"/>
    <w:rsid w:val="0057347C"/>
    <w:rsid w:val="00587B3F"/>
    <w:rsid w:val="005A1114"/>
    <w:rsid w:val="005D3BD2"/>
    <w:rsid w:val="00606008"/>
    <w:rsid w:val="00620420"/>
    <w:rsid w:val="00625620"/>
    <w:rsid w:val="00635A52"/>
    <w:rsid w:val="006371D4"/>
    <w:rsid w:val="006403E0"/>
    <w:rsid w:val="00650C40"/>
    <w:rsid w:val="0066437A"/>
    <w:rsid w:val="0066636F"/>
    <w:rsid w:val="00673502"/>
    <w:rsid w:val="0068285B"/>
    <w:rsid w:val="00684BD0"/>
    <w:rsid w:val="006940E9"/>
    <w:rsid w:val="006A0394"/>
    <w:rsid w:val="006A2400"/>
    <w:rsid w:val="006A2C3C"/>
    <w:rsid w:val="006C611E"/>
    <w:rsid w:val="006C6D55"/>
    <w:rsid w:val="006C7645"/>
    <w:rsid w:val="006D1807"/>
    <w:rsid w:val="006E00D0"/>
    <w:rsid w:val="006F43EC"/>
    <w:rsid w:val="0070450A"/>
    <w:rsid w:val="0073004C"/>
    <w:rsid w:val="00730883"/>
    <w:rsid w:val="007310C6"/>
    <w:rsid w:val="007574CF"/>
    <w:rsid w:val="00765201"/>
    <w:rsid w:val="007657A8"/>
    <w:rsid w:val="0077184E"/>
    <w:rsid w:val="007B3F21"/>
    <w:rsid w:val="007C2F67"/>
    <w:rsid w:val="007E790F"/>
    <w:rsid w:val="007F33E6"/>
    <w:rsid w:val="007F7D09"/>
    <w:rsid w:val="00803896"/>
    <w:rsid w:val="00823EA8"/>
    <w:rsid w:val="00837ADE"/>
    <w:rsid w:val="008611AE"/>
    <w:rsid w:val="00865CCC"/>
    <w:rsid w:val="008841BA"/>
    <w:rsid w:val="00890D80"/>
    <w:rsid w:val="008A6677"/>
    <w:rsid w:val="008A73F9"/>
    <w:rsid w:val="008B43B8"/>
    <w:rsid w:val="008B609B"/>
    <w:rsid w:val="008C7B3B"/>
    <w:rsid w:val="008D3F84"/>
    <w:rsid w:val="008E01D1"/>
    <w:rsid w:val="008E3BC9"/>
    <w:rsid w:val="008E70C7"/>
    <w:rsid w:val="008F3D8B"/>
    <w:rsid w:val="008F5D68"/>
    <w:rsid w:val="009025A0"/>
    <w:rsid w:val="0090630E"/>
    <w:rsid w:val="00913063"/>
    <w:rsid w:val="00922ECD"/>
    <w:rsid w:val="00970193"/>
    <w:rsid w:val="0097075B"/>
    <w:rsid w:val="009749AB"/>
    <w:rsid w:val="009770DB"/>
    <w:rsid w:val="00981418"/>
    <w:rsid w:val="00987FAD"/>
    <w:rsid w:val="00997A61"/>
    <w:rsid w:val="009A0A36"/>
    <w:rsid w:val="009B2817"/>
    <w:rsid w:val="009B381F"/>
    <w:rsid w:val="009B3C7B"/>
    <w:rsid w:val="009D05F6"/>
    <w:rsid w:val="009F56E6"/>
    <w:rsid w:val="00A063C9"/>
    <w:rsid w:val="00A30D51"/>
    <w:rsid w:val="00A37501"/>
    <w:rsid w:val="00A53AF4"/>
    <w:rsid w:val="00A6714C"/>
    <w:rsid w:val="00A73EC1"/>
    <w:rsid w:val="00A757F7"/>
    <w:rsid w:val="00A86B3D"/>
    <w:rsid w:val="00AB217F"/>
    <w:rsid w:val="00AB2E57"/>
    <w:rsid w:val="00AD09B3"/>
    <w:rsid w:val="00AD36B4"/>
    <w:rsid w:val="00AF60FD"/>
    <w:rsid w:val="00B34641"/>
    <w:rsid w:val="00B3788D"/>
    <w:rsid w:val="00B65F5A"/>
    <w:rsid w:val="00B73715"/>
    <w:rsid w:val="00B77FA2"/>
    <w:rsid w:val="00B8096A"/>
    <w:rsid w:val="00B93709"/>
    <w:rsid w:val="00BA7540"/>
    <w:rsid w:val="00BA7730"/>
    <w:rsid w:val="00BB118B"/>
    <w:rsid w:val="00BC6899"/>
    <w:rsid w:val="00BD04E8"/>
    <w:rsid w:val="00BE2BC4"/>
    <w:rsid w:val="00C02151"/>
    <w:rsid w:val="00C22D5A"/>
    <w:rsid w:val="00C23F7E"/>
    <w:rsid w:val="00C358EA"/>
    <w:rsid w:val="00C64AF7"/>
    <w:rsid w:val="00C839E5"/>
    <w:rsid w:val="00C90BFD"/>
    <w:rsid w:val="00C9142E"/>
    <w:rsid w:val="00C970A1"/>
    <w:rsid w:val="00CB74AD"/>
    <w:rsid w:val="00CD0930"/>
    <w:rsid w:val="00CD7DF1"/>
    <w:rsid w:val="00D25DC6"/>
    <w:rsid w:val="00D35717"/>
    <w:rsid w:val="00D45309"/>
    <w:rsid w:val="00D474D8"/>
    <w:rsid w:val="00D52BA2"/>
    <w:rsid w:val="00D6332E"/>
    <w:rsid w:val="00D864E6"/>
    <w:rsid w:val="00D878C6"/>
    <w:rsid w:val="00DA3D02"/>
    <w:rsid w:val="00DB49EA"/>
    <w:rsid w:val="00DD7056"/>
    <w:rsid w:val="00DF4C09"/>
    <w:rsid w:val="00DF4FB4"/>
    <w:rsid w:val="00DF7548"/>
    <w:rsid w:val="00E43943"/>
    <w:rsid w:val="00E67C19"/>
    <w:rsid w:val="00E70C4A"/>
    <w:rsid w:val="00E815EF"/>
    <w:rsid w:val="00EB4204"/>
    <w:rsid w:val="00EC0334"/>
    <w:rsid w:val="00EE1A7A"/>
    <w:rsid w:val="00EF10C3"/>
    <w:rsid w:val="00EF544F"/>
    <w:rsid w:val="00F043B4"/>
    <w:rsid w:val="00F12ADE"/>
    <w:rsid w:val="00F21512"/>
    <w:rsid w:val="00F25065"/>
    <w:rsid w:val="00F57474"/>
    <w:rsid w:val="00F81939"/>
    <w:rsid w:val="00F861F9"/>
    <w:rsid w:val="00F95BB5"/>
    <w:rsid w:val="00FA2AA6"/>
    <w:rsid w:val="00FB23A8"/>
    <w:rsid w:val="00FC10B5"/>
    <w:rsid w:val="00FC1897"/>
    <w:rsid w:val="00FD4A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D433F"/>
  <w15:docId w15:val="{D20B67C2-B7AF-4E97-A201-13A5E3407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896"/>
    <w:pPr>
      <w:jc w:val="both"/>
    </w:pPr>
    <w:rPr>
      <w:rFonts w:ascii="Tw Cen MT" w:hAnsi="Tw Cen MT"/>
      <w:sz w:val="22"/>
      <w:szCs w:val="24"/>
    </w:rPr>
  </w:style>
  <w:style w:type="paragraph" w:styleId="Titre1">
    <w:name w:val="heading 1"/>
    <w:basedOn w:val="Normal"/>
    <w:next w:val="Normal"/>
    <w:qFormat/>
    <w:rsid w:val="00045642"/>
    <w:pPr>
      <w:keepNext/>
      <w:numPr>
        <w:numId w:val="2"/>
      </w:numPr>
      <w:shd w:val="clear" w:color="auto" w:fill="8DB3E2" w:themeFill="text2" w:themeFillTint="66"/>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unhideWhenUsed/>
    <w:qFormat/>
    <w:rsid w:val="00BB118B"/>
    <w:pPr>
      <w:keepNext/>
      <w:keepLines/>
      <w:numPr>
        <w:ilvl w:val="1"/>
        <w:numId w:val="2"/>
      </w:numPr>
      <w:shd w:val="clear" w:color="auto" w:fill="E5B8B7" w:themeFill="accent2" w:themeFillTint="66"/>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nhideWhenUsed/>
    <w:qFormat/>
    <w:rsid w:val="00D35717"/>
    <w:pPr>
      <w:keepNext/>
      <w:keepLines/>
      <w:numPr>
        <w:ilvl w:val="2"/>
        <w:numId w:val="2"/>
      </w:numPr>
      <w:shd w:val="clear" w:color="auto" w:fill="D6E3BC" w:themeFill="accent3" w:themeFillTint="66"/>
      <w:spacing w:before="200"/>
      <w:outlineLvl w:val="2"/>
    </w:pPr>
    <w:rPr>
      <w:rFonts w:asciiTheme="majorHAnsi" w:eastAsiaTheme="majorEastAsia" w:hAnsiTheme="majorHAnsi" w:cstheme="majorBidi"/>
      <w:b/>
      <w:bCs/>
    </w:rPr>
  </w:style>
  <w:style w:type="paragraph" w:styleId="Titre4">
    <w:name w:val="heading 4"/>
    <w:basedOn w:val="Normal"/>
    <w:next w:val="Normal"/>
    <w:link w:val="Titre4Car"/>
    <w:unhideWhenUsed/>
    <w:qFormat/>
    <w:rsid w:val="006828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BB118B"/>
    <w:rPr>
      <w:rFonts w:asciiTheme="majorHAnsi" w:eastAsiaTheme="majorEastAsia" w:hAnsiTheme="majorHAnsi" w:cstheme="majorBidi"/>
      <w:b/>
      <w:bCs/>
      <w:sz w:val="26"/>
      <w:szCs w:val="26"/>
      <w:shd w:val="clear" w:color="auto" w:fill="E5B8B7" w:themeFill="accent2" w:themeFillTint="66"/>
    </w:rPr>
  </w:style>
  <w:style w:type="paragraph" w:styleId="En-tte">
    <w:name w:val="header"/>
    <w:basedOn w:val="Normal"/>
    <w:link w:val="En-tteCar"/>
    <w:uiPriority w:val="99"/>
    <w:rsid w:val="006C6D55"/>
    <w:pPr>
      <w:tabs>
        <w:tab w:val="center" w:pos="4536"/>
        <w:tab w:val="right" w:pos="9072"/>
      </w:tabs>
    </w:pPr>
  </w:style>
  <w:style w:type="character" w:customStyle="1" w:styleId="En-tteCar">
    <w:name w:val="En-tête Car"/>
    <w:basedOn w:val="Policepardfaut"/>
    <w:link w:val="En-tte"/>
    <w:uiPriority w:val="99"/>
    <w:rsid w:val="006C6D55"/>
    <w:rPr>
      <w:sz w:val="24"/>
      <w:szCs w:val="24"/>
    </w:rPr>
  </w:style>
  <w:style w:type="paragraph" w:styleId="Pieddepage">
    <w:name w:val="footer"/>
    <w:basedOn w:val="Normal"/>
    <w:link w:val="PieddepageCar"/>
    <w:uiPriority w:val="99"/>
    <w:rsid w:val="006C6D55"/>
    <w:pPr>
      <w:tabs>
        <w:tab w:val="center" w:pos="4536"/>
        <w:tab w:val="right" w:pos="9072"/>
      </w:tabs>
    </w:pPr>
  </w:style>
  <w:style w:type="character" w:customStyle="1" w:styleId="PieddepageCar">
    <w:name w:val="Pied de page Car"/>
    <w:basedOn w:val="Policepardfaut"/>
    <w:link w:val="Pieddepage"/>
    <w:uiPriority w:val="99"/>
    <w:rsid w:val="006C6D55"/>
    <w:rPr>
      <w:sz w:val="24"/>
      <w:szCs w:val="24"/>
    </w:rPr>
  </w:style>
  <w:style w:type="paragraph" w:styleId="Textedebulles">
    <w:name w:val="Balloon Text"/>
    <w:basedOn w:val="Normal"/>
    <w:link w:val="TextedebullesCar"/>
    <w:rsid w:val="006C6D55"/>
    <w:rPr>
      <w:rFonts w:ascii="Tahoma" w:hAnsi="Tahoma" w:cs="Tahoma"/>
      <w:sz w:val="16"/>
      <w:szCs w:val="16"/>
    </w:rPr>
  </w:style>
  <w:style w:type="character" w:customStyle="1" w:styleId="TextedebullesCar">
    <w:name w:val="Texte de bulles Car"/>
    <w:basedOn w:val="Policepardfaut"/>
    <w:link w:val="Textedebulles"/>
    <w:rsid w:val="006C6D55"/>
    <w:rPr>
      <w:rFonts w:ascii="Tahoma" w:hAnsi="Tahoma" w:cs="Tahoma"/>
      <w:sz w:val="16"/>
      <w:szCs w:val="16"/>
    </w:rPr>
  </w:style>
  <w:style w:type="paragraph" w:styleId="Notedebasdepage">
    <w:name w:val="footnote text"/>
    <w:basedOn w:val="Normal"/>
    <w:link w:val="NotedebasdepageCar"/>
    <w:rsid w:val="00987FAD"/>
    <w:rPr>
      <w:sz w:val="20"/>
      <w:szCs w:val="20"/>
    </w:rPr>
  </w:style>
  <w:style w:type="character" w:customStyle="1" w:styleId="NotedebasdepageCar">
    <w:name w:val="Note de bas de page Car"/>
    <w:basedOn w:val="Policepardfaut"/>
    <w:link w:val="Notedebasdepage"/>
    <w:rsid w:val="00987FAD"/>
  </w:style>
  <w:style w:type="paragraph" w:styleId="Commentaire">
    <w:name w:val="annotation text"/>
    <w:basedOn w:val="Normal"/>
    <w:link w:val="CommentaireCar"/>
    <w:rsid w:val="00987FAD"/>
    <w:rPr>
      <w:sz w:val="20"/>
      <w:szCs w:val="20"/>
    </w:rPr>
  </w:style>
  <w:style w:type="character" w:customStyle="1" w:styleId="CommentaireCar">
    <w:name w:val="Commentaire Car"/>
    <w:basedOn w:val="Policepardfaut"/>
    <w:link w:val="Commentaire"/>
    <w:rsid w:val="00987FAD"/>
  </w:style>
  <w:style w:type="character" w:styleId="Appelnotedebasdep">
    <w:name w:val="footnote reference"/>
    <w:rsid w:val="00987FAD"/>
    <w:rPr>
      <w:vertAlign w:val="superscript"/>
    </w:rPr>
  </w:style>
  <w:style w:type="character" w:styleId="Marquedecommentaire">
    <w:name w:val="annotation reference"/>
    <w:rsid w:val="00987FAD"/>
    <w:rPr>
      <w:sz w:val="16"/>
      <w:szCs w:val="16"/>
    </w:rPr>
  </w:style>
  <w:style w:type="paragraph" w:styleId="Objetducommentaire">
    <w:name w:val="annotation subject"/>
    <w:basedOn w:val="Commentaire"/>
    <w:next w:val="Commentaire"/>
    <w:link w:val="ObjetducommentaireCar"/>
    <w:rsid w:val="007C2F67"/>
    <w:rPr>
      <w:b/>
      <w:bCs/>
    </w:rPr>
  </w:style>
  <w:style w:type="character" w:customStyle="1" w:styleId="ObjetducommentaireCar">
    <w:name w:val="Objet du commentaire Car"/>
    <w:basedOn w:val="CommentaireCar"/>
    <w:link w:val="Objetducommentaire"/>
    <w:rsid w:val="007C2F67"/>
    <w:rPr>
      <w:b/>
      <w:bCs/>
    </w:rPr>
  </w:style>
  <w:style w:type="paragraph" w:styleId="Sansinterligne">
    <w:name w:val="No Spacing"/>
    <w:uiPriority w:val="99"/>
    <w:qFormat/>
    <w:rsid w:val="0073004C"/>
    <w:rPr>
      <w:rFonts w:ascii="Calibri" w:eastAsia="Calibri" w:hAnsi="Calibri"/>
      <w:sz w:val="22"/>
      <w:szCs w:val="22"/>
      <w:lang w:eastAsia="en-US"/>
    </w:rPr>
  </w:style>
  <w:style w:type="character" w:styleId="Lienhypertexte">
    <w:name w:val="Hyperlink"/>
    <w:basedOn w:val="Policepardfaut"/>
    <w:uiPriority w:val="99"/>
    <w:rsid w:val="0073004C"/>
    <w:rPr>
      <w:rFonts w:cs="Times New Roman"/>
      <w:color w:val="0000FF"/>
      <w:u w:val="single"/>
    </w:rPr>
  </w:style>
  <w:style w:type="paragraph" w:styleId="En-ttedetabledesmatires">
    <w:name w:val="TOC Heading"/>
    <w:basedOn w:val="Titre1"/>
    <w:next w:val="Normal"/>
    <w:uiPriority w:val="39"/>
    <w:semiHidden/>
    <w:unhideWhenUsed/>
    <w:qFormat/>
    <w:rsid w:val="0073004C"/>
    <w:pPr>
      <w:keepLines/>
      <w:shd w:val="clear" w:color="auto" w:fill="auto"/>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rsid w:val="00121A3A"/>
    <w:pPr>
      <w:tabs>
        <w:tab w:val="left" w:pos="1320"/>
        <w:tab w:val="right" w:leader="dot" w:pos="9636"/>
      </w:tabs>
      <w:spacing w:after="100"/>
    </w:pPr>
  </w:style>
  <w:style w:type="character" w:customStyle="1" w:styleId="Titre3Car">
    <w:name w:val="Titre 3 Car"/>
    <w:basedOn w:val="Policepardfaut"/>
    <w:link w:val="Titre3"/>
    <w:rsid w:val="00D35717"/>
    <w:rPr>
      <w:rFonts w:asciiTheme="majorHAnsi" w:eastAsiaTheme="majorEastAsia" w:hAnsiTheme="majorHAnsi" w:cstheme="majorBidi"/>
      <w:b/>
      <w:bCs/>
      <w:sz w:val="22"/>
      <w:szCs w:val="24"/>
      <w:shd w:val="clear" w:color="auto" w:fill="D6E3BC" w:themeFill="accent3" w:themeFillTint="66"/>
    </w:rPr>
  </w:style>
  <w:style w:type="paragraph" w:styleId="Paragraphedeliste">
    <w:name w:val="List Paragraph"/>
    <w:basedOn w:val="Normal"/>
    <w:uiPriority w:val="99"/>
    <w:qFormat/>
    <w:rsid w:val="00FB23A8"/>
    <w:pPr>
      <w:numPr>
        <w:numId w:val="22"/>
      </w:numPr>
      <w:spacing w:after="60" w:line="276" w:lineRule="auto"/>
      <w:contextualSpacing/>
    </w:pPr>
    <w:rPr>
      <w:rFonts w:eastAsia="Calibri"/>
      <w:szCs w:val="22"/>
      <w:lang w:eastAsia="en-US"/>
    </w:rPr>
  </w:style>
  <w:style w:type="paragraph" w:styleId="Corpsdetexte">
    <w:name w:val="Body Text"/>
    <w:aliases w:val="Body Text1,Body Text2,Body Text11,Body Text3,Body Text4,body text,Body,contents,bt,body tesx,Texto independiente,body,Viñeta,heading_txt,bodytxy2,Body Text - Level 2"/>
    <w:basedOn w:val="Normal"/>
    <w:link w:val="CorpsdetexteCar"/>
    <w:uiPriority w:val="99"/>
    <w:rsid w:val="00BB118B"/>
    <w:rPr>
      <w:rFonts w:eastAsia="Calibri"/>
      <w:szCs w:val="22"/>
    </w:rPr>
  </w:style>
  <w:style w:type="character" w:customStyle="1" w:styleId="CorpsdetexteCar">
    <w:name w:val="Corps de texte Car"/>
    <w:aliases w:val="Body Text1 Car,Body Text2 Car,Body Text11 Car,Body Text3 Car,Body Text4 Car,body text Car,Body Car,contents Car,bt Car,body tesx Car,Texto independiente Car,body Car,Viñeta Car,heading_txt Car,bodytxy2 Car,Body Text - Level 2 Car"/>
    <w:basedOn w:val="Policepardfaut"/>
    <w:link w:val="Corpsdetexte"/>
    <w:uiPriority w:val="99"/>
    <w:rsid w:val="00BB118B"/>
    <w:rPr>
      <w:rFonts w:eastAsia="Calibri"/>
      <w:sz w:val="22"/>
      <w:szCs w:val="22"/>
    </w:rPr>
  </w:style>
  <w:style w:type="paragraph" w:styleId="TM3">
    <w:name w:val="toc 3"/>
    <w:basedOn w:val="Normal"/>
    <w:next w:val="Normal"/>
    <w:autoRedefine/>
    <w:uiPriority w:val="39"/>
    <w:rsid w:val="00DD7056"/>
    <w:pPr>
      <w:spacing w:after="100"/>
      <w:ind w:left="480"/>
    </w:pPr>
  </w:style>
  <w:style w:type="paragraph" w:styleId="TM2">
    <w:name w:val="toc 2"/>
    <w:basedOn w:val="Normal"/>
    <w:next w:val="Normal"/>
    <w:autoRedefine/>
    <w:uiPriority w:val="39"/>
    <w:rsid w:val="00DD7056"/>
    <w:pPr>
      <w:spacing w:after="100"/>
      <w:ind w:left="240"/>
    </w:pPr>
  </w:style>
  <w:style w:type="paragraph" w:customStyle="1" w:styleId="TITRE10">
    <w:name w:val="TITRE1"/>
    <w:basedOn w:val="Normal"/>
    <w:rsid w:val="002B7927"/>
    <w:rPr>
      <w:rFonts w:ascii="Univers" w:hAnsi="Univers"/>
      <w:b/>
      <w:bCs/>
      <w:sz w:val="28"/>
      <w:szCs w:val="28"/>
      <w:lang w:eastAsia="en-US"/>
    </w:rPr>
  </w:style>
  <w:style w:type="paragraph" w:customStyle="1" w:styleId="1Car">
    <w:name w:val="1 Car"/>
    <w:basedOn w:val="Normal"/>
    <w:rsid w:val="002B7927"/>
    <w:pPr>
      <w:spacing w:after="160" w:line="240" w:lineRule="exact"/>
    </w:pPr>
    <w:rPr>
      <w:rFonts w:ascii="Tahoma" w:hAnsi="Tahoma"/>
      <w:color w:val="000000"/>
      <w:sz w:val="20"/>
      <w:szCs w:val="20"/>
      <w:lang w:val="en-US" w:eastAsia="en-US"/>
    </w:rPr>
  </w:style>
  <w:style w:type="paragraph" w:styleId="Liste">
    <w:name w:val="List"/>
    <w:basedOn w:val="Normal"/>
    <w:rsid w:val="00114DA1"/>
    <w:pPr>
      <w:ind w:left="283" w:hanging="283"/>
    </w:pPr>
    <w:rPr>
      <w:sz w:val="20"/>
      <w:szCs w:val="20"/>
      <w:lang w:eastAsia="en-US"/>
    </w:rPr>
  </w:style>
  <w:style w:type="paragraph" w:styleId="NormalWeb">
    <w:name w:val="Normal (Web)"/>
    <w:basedOn w:val="Normal"/>
    <w:uiPriority w:val="99"/>
    <w:unhideWhenUsed/>
    <w:rsid w:val="00F21512"/>
    <w:pPr>
      <w:spacing w:before="100" w:beforeAutospacing="1" w:after="100" w:afterAutospacing="1"/>
    </w:pPr>
  </w:style>
  <w:style w:type="character" w:customStyle="1" w:styleId="texttaille12">
    <w:name w:val="text_taille_12"/>
    <w:basedOn w:val="Policepardfaut"/>
    <w:rsid w:val="00F21512"/>
  </w:style>
  <w:style w:type="character" w:styleId="lev">
    <w:name w:val="Strong"/>
    <w:basedOn w:val="Policepardfaut"/>
    <w:uiPriority w:val="22"/>
    <w:qFormat/>
    <w:rsid w:val="00F21512"/>
    <w:rPr>
      <w:b/>
      <w:bCs/>
    </w:rPr>
  </w:style>
  <w:style w:type="character" w:customStyle="1" w:styleId="mainsitecolor">
    <w:name w:val="main_site_color"/>
    <w:basedOn w:val="Policepardfaut"/>
    <w:rsid w:val="00F21512"/>
  </w:style>
  <w:style w:type="paragraph" w:styleId="Rvision">
    <w:name w:val="Revision"/>
    <w:hidden/>
    <w:uiPriority w:val="99"/>
    <w:semiHidden/>
    <w:rsid w:val="006371D4"/>
    <w:rPr>
      <w:sz w:val="24"/>
      <w:szCs w:val="24"/>
    </w:rPr>
  </w:style>
  <w:style w:type="paragraph" w:styleId="Retraitnormal">
    <w:name w:val="Normal Indent"/>
    <w:basedOn w:val="Normal"/>
    <w:rsid w:val="00D45309"/>
    <w:pPr>
      <w:ind w:left="708"/>
    </w:pPr>
    <w:rPr>
      <w:rFonts w:ascii="Arial" w:hAnsi="Arial"/>
      <w:szCs w:val="20"/>
    </w:rPr>
  </w:style>
  <w:style w:type="character" w:customStyle="1" w:styleId="Titre4Car">
    <w:name w:val="Titre 4 Car"/>
    <w:basedOn w:val="Policepardfaut"/>
    <w:link w:val="Titre4"/>
    <w:rsid w:val="0068285B"/>
    <w:rPr>
      <w:rFonts w:asciiTheme="majorHAnsi" w:eastAsiaTheme="majorEastAsia" w:hAnsiTheme="majorHAnsi" w:cstheme="majorBidi"/>
      <w:i/>
      <w:iCs/>
      <w:color w:val="365F91" w:themeColor="accent1" w:themeShade="BF"/>
      <w:sz w:val="24"/>
      <w:szCs w:val="24"/>
    </w:rPr>
  </w:style>
  <w:style w:type="character" w:styleId="Mentionnonrsolue">
    <w:name w:val="Unresolved Mention"/>
    <w:basedOn w:val="Policepardfaut"/>
    <w:uiPriority w:val="99"/>
    <w:semiHidden/>
    <w:unhideWhenUsed/>
    <w:rsid w:val="00FB23A8"/>
    <w:rPr>
      <w:color w:val="605E5C"/>
      <w:shd w:val="clear" w:color="auto" w:fill="E1DFDD"/>
    </w:rPr>
  </w:style>
  <w:style w:type="character" w:styleId="Lienhypertextesuivivisit">
    <w:name w:val="FollowedHyperlink"/>
    <w:basedOn w:val="Policepardfaut"/>
    <w:semiHidden/>
    <w:unhideWhenUsed/>
    <w:rsid w:val="00CD09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52742">
      <w:bodyDiv w:val="1"/>
      <w:marLeft w:val="0"/>
      <w:marRight w:val="0"/>
      <w:marTop w:val="0"/>
      <w:marBottom w:val="0"/>
      <w:divBdr>
        <w:top w:val="none" w:sz="0" w:space="0" w:color="auto"/>
        <w:left w:val="none" w:sz="0" w:space="0" w:color="auto"/>
        <w:bottom w:val="none" w:sz="0" w:space="0" w:color="auto"/>
        <w:right w:val="none" w:sz="0" w:space="0" w:color="auto"/>
      </w:divBdr>
      <w:divsChild>
        <w:div w:id="785199319">
          <w:marLeft w:val="0"/>
          <w:marRight w:val="0"/>
          <w:marTop w:val="0"/>
          <w:marBottom w:val="0"/>
          <w:divBdr>
            <w:top w:val="none" w:sz="0" w:space="0" w:color="auto"/>
            <w:left w:val="none" w:sz="0" w:space="0" w:color="auto"/>
            <w:bottom w:val="none" w:sz="0" w:space="0" w:color="auto"/>
            <w:right w:val="none" w:sz="0" w:space="0" w:color="auto"/>
          </w:divBdr>
        </w:div>
      </w:divsChild>
    </w:div>
    <w:div w:id="1424569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fd.fr/home/appui-renforcement-capacites" TargetMode="External"/><Relationship Id="rId18" Type="http://schemas.openxmlformats.org/officeDocument/2006/relationships/hyperlink" Target="http://www.afd.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fd.fr/home/C2D" TargetMode="External"/><Relationship Id="rId17" Type="http://schemas.openxmlformats.org/officeDocument/2006/relationships/hyperlink" Target="http://www.ffem.fr" TargetMode="External"/><Relationship Id="rId2" Type="http://schemas.openxmlformats.org/officeDocument/2006/relationships/numbering" Target="numbering.xml"/><Relationship Id="rId16" Type="http://schemas.openxmlformats.org/officeDocument/2006/relationships/hyperlink" Target="http://www.expertisefrance.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home/garantiesAFD" TargetMode="External"/><Relationship Id="rId5" Type="http://schemas.openxmlformats.org/officeDocument/2006/relationships/webSettings" Target="webSettings.xml"/><Relationship Id="rId15" Type="http://schemas.openxmlformats.org/officeDocument/2006/relationships/hyperlink" Target="http://www.proparco.fr" TargetMode="External"/><Relationship Id="rId10" Type="http://schemas.openxmlformats.org/officeDocument/2006/relationships/hyperlink" Target="http://www.afd.fr/home/AFD/op/edit/home/prets" TargetMode="External"/><Relationship Id="rId19" Type="http://schemas.openxmlformats.org/officeDocument/2006/relationships/hyperlink" Target="https://www.afd.fr/fr/projets/liste" TargetMode="External"/><Relationship Id="rId4" Type="http://schemas.openxmlformats.org/officeDocument/2006/relationships/settings" Target="settings.xml"/><Relationship Id="rId9" Type="http://schemas.openxmlformats.org/officeDocument/2006/relationships/hyperlink" Target="http://www.afd.fr/subventions" TargetMode="External"/><Relationship Id="rId14" Type="http://schemas.openxmlformats.org/officeDocument/2006/relationships/hyperlink" Target="http://www.proparco.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D37CB-82D5-4ED5-8CDC-660EC8767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1656</Words>
  <Characters>10360</Characters>
  <Application>Microsoft Office Word</Application>
  <DocSecurity>0</DocSecurity>
  <Lines>86</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AFD</dc:creator>
  <cp:keywords/>
  <dc:description/>
  <cp:lastModifiedBy>DIALLO Mariama</cp:lastModifiedBy>
  <cp:revision>7</cp:revision>
  <cp:lastPrinted>2018-01-22T13:59:00Z</cp:lastPrinted>
  <dcterms:created xsi:type="dcterms:W3CDTF">2025-09-22T08:20:00Z</dcterms:created>
  <dcterms:modified xsi:type="dcterms:W3CDTF">2025-10-15T14:54:00Z</dcterms:modified>
</cp:coreProperties>
</file>